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0DE6" w14:textId="0818DE8B" w:rsidR="00466C98" w:rsidRPr="00F33752" w:rsidRDefault="003059D3" w:rsidP="003059D3">
      <w:pPr>
        <w:spacing w:after="0" w:line="240" w:lineRule="auto"/>
        <w:jc w:val="center"/>
        <w:rPr>
          <w:b/>
          <w:sz w:val="28"/>
          <w:szCs w:val="28"/>
        </w:rPr>
      </w:pPr>
      <w:r w:rsidRPr="00F33752">
        <w:rPr>
          <w:b/>
          <w:sz w:val="28"/>
          <w:szCs w:val="28"/>
        </w:rPr>
        <w:t xml:space="preserve">IACBE </w:t>
      </w:r>
      <w:r w:rsidR="00466C98" w:rsidRPr="00F33752">
        <w:rPr>
          <w:b/>
          <w:sz w:val="28"/>
          <w:szCs w:val="28"/>
        </w:rPr>
        <w:t>Program Eligibility</w:t>
      </w:r>
    </w:p>
    <w:p w14:paraId="702F9F3C" w14:textId="77777777" w:rsidR="00F33752" w:rsidRDefault="00F33752" w:rsidP="003059D3">
      <w:pPr>
        <w:spacing w:after="0" w:line="240" w:lineRule="auto"/>
        <w:rPr>
          <w:bCs/>
        </w:rPr>
      </w:pPr>
    </w:p>
    <w:p w14:paraId="74BD6E48" w14:textId="6AFFBE2C" w:rsidR="00466C98" w:rsidRPr="00F33752" w:rsidRDefault="00466C98" w:rsidP="003059D3">
      <w:pPr>
        <w:spacing w:after="0" w:line="240" w:lineRule="auto"/>
        <w:rPr>
          <w:bCs/>
        </w:rPr>
      </w:pPr>
      <w:r w:rsidRPr="00F33752">
        <w:rPr>
          <w:bCs/>
        </w:rPr>
        <w:t xml:space="preserve">The IACBE accredits business programs that lead to degrees at the associate, bachelor’s, master’s, and doctoral levels in </w:t>
      </w:r>
      <w:r w:rsidR="00F4052E" w:rsidRPr="00F33752">
        <w:rPr>
          <w:bCs/>
        </w:rPr>
        <w:t>business unit</w:t>
      </w:r>
      <w:r w:rsidRPr="00F33752">
        <w:rPr>
          <w:bCs/>
        </w:rPr>
        <w:t>s of higher education worldwide that grant associate's, bachelor’s and/or graduate degrees.</w:t>
      </w:r>
    </w:p>
    <w:p w14:paraId="1C78C11C" w14:textId="77777777" w:rsidR="003059D3" w:rsidRPr="00F33752" w:rsidRDefault="003059D3" w:rsidP="003059D3">
      <w:pPr>
        <w:spacing w:after="0" w:line="240" w:lineRule="auto"/>
        <w:rPr>
          <w:bCs/>
        </w:rPr>
      </w:pPr>
    </w:p>
    <w:p w14:paraId="223CB126" w14:textId="731F8D33" w:rsidR="00466C98" w:rsidRPr="00F33752" w:rsidRDefault="00466C98" w:rsidP="003059D3">
      <w:pPr>
        <w:spacing w:after="0" w:line="240" w:lineRule="auto"/>
        <w:rPr>
          <w:bCs/>
        </w:rPr>
      </w:pPr>
      <w:r w:rsidRPr="00F33752">
        <w:rPr>
          <w:bCs/>
        </w:rPr>
        <w:t xml:space="preserve">For the purposes of inclusion in your IACBE grant of accreditation, a program of study </w:t>
      </w:r>
      <w:proofErr w:type="gramStart"/>
      <w:r w:rsidRPr="00F33752">
        <w:rPr>
          <w:bCs/>
        </w:rPr>
        <w:t>is considered to be</w:t>
      </w:r>
      <w:proofErr w:type="gramEnd"/>
      <w:r w:rsidRPr="00F33752">
        <w:rPr>
          <w:bCs/>
        </w:rPr>
        <w:t xml:space="preserve"> a ‘business program’ if and only if it satisfies all of the following three criteria:</w:t>
      </w:r>
    </w:p>
    <w:p w14:paraId="0D64D55A" w14:textId="77777777" w:rsidR="00466C98" w:rsidRPr="00F33752" w:rsidRDefault="00466C98" w:rsidP="003059D3">
      <w:pPr>
        <w:numPr>
          <w:ilvl w:val="0"/>
          <w:numId w:val="3"/>
        </w:numPr>
        <w:spacing w:after="0" w:line="240" w:lineRule="auto"/>
        <w:rPr>
          <w:bCs/>
        </w:rPr>
      </w:pPr>
      <w:r w:rsidRPr="00F33752">
        <w:rPr>
          <w:bCs/>
        </w:rPr>
        <w:t xml:space="preserve">The program leads to the awarding of a degree, diploma, or other equivalent credential at the associate, bachelor’s, master’s, or doctoral </w:t>
      </w:r>
      <w:proofErr w:type="gramStart"/>
      <w:r w:rsidRPr="00F33752">
        <w:rPr>
          <w:bCs/>
        </w:rPr>
        <w:t>level;</w:t>
      </w:r>
      <w:proofErr w:type="gramEnd"/>
    </w:p>
    <w:p w14:paraId="7059894D" w14:textId="78A3B37E" w:rsidR="00466C98" w:rsidRPr="00F33752" w:rsidRDefault="00466C98" w:rsidP="003059D3">
      <w:pPr>
        <w:numPr>
          <w:ilvl w:val="0"/>
          <w:numId w:val="3"/>
        </w:numPr>
        <w:spacing w:after="0" w:line="240" w:lineRule="auto"/>
        <w:rPr>
          <w:bCs/>
        </w:rPr>
      </w:pPr>
      <w:r w:rsidRPr="00F33752">
        <w:rPr>
          <w:bCs/>
        </w:rPr>
        <w:t>The credit hours (or contact hours as applicable) in the areas of business education</w:t>
      </w:r>
      <w:r w:rsidR="00EE31BA" w:rsidRPr="00F33752">
        <w:rPr>
          <w:rStyle w:val="FootnoteReference"/>
          <w:bCs/>
        </w:rPr>
        <w:footnoteReference w:id="1"/>
      </w:r>
      <w:r w:rsidRPr="00F33752">
        <w:rPr>
          <w:bCs/>
        </w:rPr>
        <w:t xml:space="preserve"> in the program constitute </w:t>
      </w:r>
      <w:r w:rsidR="00EB5590" w:rsidRPr="00F33752">
        <w:rPr>
          <w:bCs/>
        </w:rPr>
        <w:t>3</w:t>
      </w:r>
      <w:r w:rsidRPr="00F33752">
        <w:rPr>
          <w:bCs/>
        </w:rPr>
        <w:t xml:space="preserve">0 percent or more of the total hours required for an undergraduate degree, diploma, or other equivalent credential, or 50 percent or more of the total hours required for a graduate degree, diploma, or other equivalent </w:t>
      </w:r>
      <w:proofErr w:type="gramStart"/>
      <w:r w:rsidRPr="00F33752">
        <w:rPr>
          <w:bCs/>
        </w:rPr>
        <w:t>credential;</w:t>
      </w:r>
      <w:proofErr w:type="gramEnd"/>
    </w:p>
    <w:p w14:paraId="6306EC9C" w14:textId="77777777" w:rsidR="00E96DF1" w:rsidRPr="00F33752" w:rsidRDefault="00466C98" w:rsidP="003059D3">
      <w:pPr>
        <w:numPr>
          <w:ilvl w:val="0"/>
          <w:numId w:val="3"/>
        </w:numPr>
        <w:spacing w:after="0" w:line="240" w:lineRule="auto"/>
        <w:rPr>
          <w:bCs/>
        </w:rPr>
      </w:pPr>
      <w:r w:rsidRPr="00F33752">
        <w:rPr>
          <w:bCs/>
        </w:rPr>
        <w:t>The program appears on a student’s official transcript, diploma supplement, or other official record of program completion.</w:t>
      </w:r>
    </w:p>
    <w:p w14:paraId="3D5AE461" w14:textId="3CA81846" w:rsidR="00E96DF1" w:rsidRPr="00F33752" w:rsidRDefault="00773045" w:rsidP="00E96DF1">
      <w:pPr>
        <w:numPr>
          <w:ilvl w:val="1"/>
          <w:numId w:val="3"/>
        </w:numPr>
        <w:spacing w:after="0" w:line="240" w:lineRule="auto"/>
        <w:rPr>
          <w:bCs/>
        </w:rPr>
      </w:pPr>
      <w:r w:rsidRPr="00F33752">
        <w:rPr>
          <w:bCs/>
        </w:rPr>
        <w:t>A</w:t>
      </w:r>
      <w:r w:rsidR="00466C98" w:rsidRPr="00F33752">
        <w:rPr>
          <w:bCs/>
        </w:rPr>
        <w:t xml:space="preserve">ll majors, concentrations, specializations, emphases, </w:t>
      </w:r>
      <w:r w:rsidR="00F056A7" w:rsidRPr="00F33752">
        <w:rPr>
          <w:bCs/>
        </w:rPr>
        <w:t>etc.</w:t>
      </w:r>
      <w:r w:rsidR="00466C98" w:rsidRPr="00F33752">
        <w:rPr>
          <w:bCs/>
        </w:rPr>
        <w:t xml:space="preserve"> </w:t>
      </w:r>
      <w:r w:rsidR="00F056A7" w:rsidRPr="00F33752">
        <w:rPr>
          <w:bCs/>
        </w:rPr>
        <w:t>of</w:t>
      </w:r>
      <w:r w:rsidR="00466C98" w:rsidRPr="00F33752">
        <w:rPr>
          <w:bCs/>
        </w:rPr>
        <w:t xml:space="preserve"> a program</w:t>
      </w:r>
      <w:r w:rsidR="00380CE1" w:rsidRPr="00F33752">
        <w:rPr>
          <w:bCs/>
        </w:rPr>
        <w:t xml:space="preserve"> must</w:t>
      </w:r>
      <w:r w:rsidR="00466C98" w:rsidRPr="00F33752">
        <w:rPr>
          <w:bCs/>
        </w:rPr>
        <w:t xml:space="preserve"> </w:t>
      </w:r>
      <w:r w:rsidR="00380CE1" w:rsidRPr="00F33752">
        <w:rPr>
          <w:bCs/>
        </w:rPr>
        <w:t xml:space="preserve">appear on a student’s official transcript, diploma </w:t>
      </w:r>
      <w:r w:rsidR="00F056A7" w:rsidRPr="00F33752">
        <w:rPr>
          <w:bCs/>
        </w:rPr>
        <w:t>document</w:t>
      </w:r>
      <w:r w:rsidR="00380CE1" w:rsidRPr="00F33752">
        <w:rPr>
          <w:bCs/>
        </w:rPr>
        <w:t>, or other official record of program completion</w:t>
      </w:r>
    </w:p>
    <w:p w14:paraId="55291A4F" w14:textId="77777777" w:rsidR="00EE31BA" w:rsidRPr="00F33752" w:rsidRDefault="00EE31BA" w:rsidP="00E96DF1">
      <w:pPr>
        <w:spacing w:after="0" w:line="240" w:lineRule="auto"/>
        <w:rPr>
          <w:bCs/>
        </w:rPr>
      </w:pPr>
    </w:p>
    <w:p w14:paraId="74E39155" w14:textId="758EEB59" w:rsidR="003059D3" w:rsidRPr="00F33752" w:rsidRDefault="00204BE3" w:rsidP="003059D3">
      <w:pPr>
        <w:spacing w:after="0" w:line="240" w:lineRule="auto"/>
        <w:rPr>
          <w:bCs/>
        </w:rPr>
      </w:pPr>
      <w:r w:rsidRPr="00F33752">
        <w:rPr>
          <w:bCs/>
        </w:rPr>
        <w:t>The IACBE does not accredit minors.</w:t>
      </w:r>
    </w:p>
    <w:p w14:paraId="06E7B6A9" w14:textId="77777777" w:rsidR="00EE31BA" w:rsidRPr="00F33752" w:rsidRDefault="00EE31BA" w:rsidP="003059D3">
      <w:pPr>
        <w:spacing w:after="0" w:line="240" w:lineRule="auto"/>
        <w:rPr>
          <w:bCs/>
        </w:rPr>
      </w:pPr>
    </w:p>
    <w:p w14:paraId="6D977CEA" w14:textId="154C68FF" w:rsidR="003059D3" w:rsidRPr="00F33752" w:rsidRDefault="003059D3" w:rsidP="003059D3">
      <w:pPr>
        <w:spacing w:after="0" w:line="240" w:lineRule="auto"/>
        <w:jc w:val="center"/>
        <w:rPr>
          <w:bCs/>
        </w:rPr>
      </w:pPr>
      <w:r w:rsidRPr="00F33752">
        <w:rPr>
          <w:b/>
          <w:sz w:val="28"/>
          <w:szCs w:val="28"/>
        </w:rPr>
        <w:t>Grandfathering</w:t>
      </w:r>
      <w:r w:rsidR="005A7977" w:rsidRPr="00F33752">
        <w:rPr>
          <w:b/>
          <w:sz w:val="28"/>
          <w:szCs w:val="28"/>
        </w:rPr>
        <w:t xml:space="preserve"> </w:t>
      </w:r>
      <w:r w:rsidRPr="00F33752">
        <w:rPr>
          <w:bCs/>
        </w:rPr>
        <w:t>(refer to approval levels below)</w:t>
      </w:r>
    </w:p>
    <w:p w14:paraId="294F8721" w14:textId="77777777" w:rsidR="00F33752" w:rsidRDefault="00F33752" w:rsidP="003059D3">
      <w:pPr>
        <w:spacing w:after="0" w:line="240" w:lineRule="auto"/>
        <w:rPr>
          <w:b/>
        </w:rPr>
      </w:pPr>
    </w:p>
    <w:p w14:paraId="54BA7703" w14:textId="4967AC73" w:rsidR="00A62F82" w:rsidRPr="00F33752" w:rsidRDefault="00A62F82" w:rsidP="003059D3">
      <w:pPr>
        <w:spacing w:after="0" w:line="240" w:lineRule="auto"/>
        <w:rPr>
          <w:bCs/>
        </w:rPr>
      </w:pPr>
      <w:r w:rsidRPr="00F33752">
        <w:rPr>
          <w:b/>
        </w:rPr>
        <w:t>Desk Review Programs</w:t>
      </w:r>
      <w:r w:rsidRPr="00F33752">
        <w:rPr>
          <w:bCs/>
        </w:rPr>
        <w:t>:</w:t>
      </w:r>
      <w:r w:rsidR="005A7977" w:rsidRPr="00F33752">
        <w:rPr>
          <w:bCs/>
        </w:rPr>
        <w:t xml:space="preserve"> Upon IACBE approval of the program students in this program are considered to have graduated from an IACBE-accredited program if they were active in the program at the time IACBE receives the application.</w:t>
      </w:r>
    </w:p>
    <w:p w14:paraId="61CBE46A" w14:textId="77777777" w:rsidR="00A62F82" w:rsidRPr="00F33752" w:rsidRDefault="00A62F82" w:rsidP="003059D3">
      <w:pPr>
        <w:spacing w:after="0" w:line="240" w:lineRule="auto"/>
        <w:rPr>
          <w:bCs/>
        </w:rPr>
      </w:pPr>
    </w:p>
    <w:p w14:paraId="7CCBEE74" w14:textId="10748981" w:rsidR="00466C98" w:rsidRPr="00F33752" w:rsidRDefault="003059D3" w:rsidP="003059D3">
      <w:pPr>
        <w:spacing w:after="0" w:line="240" w:lineRule="auto"/>
        <w:rPr>
          <w:bCs/>
        </w:rPr>
      </w:pPr>
      <w:r w:rsidRPr="00F33752">
        <w:rPr>
          <w:b/>
        </w:rPr>
        <w:t>Fast Track Programs:</w:t>
      </w:r>
      <w:r w:rsidRPr="00F33752">
        <w:rPr>
          <w:bCs/>
        </w:rPr>
        <w:t xml:space="preserve"> Upon IACBE approval of the program students in this program are considered to have graduated from an IACBE-accredited program if they were active in the program at the time IACBE receives the application. </w:t>
      </w:r>
    </w:p>
    <w:p w14:paraId="49C41A7A" w14:textId="2B558F74" w:rsidR="003059D3" w:rsidRPr="00F33752" w:rsidRDefault="003059D3" w:rsidP="003059D3">
      <w:pPr>
        <w:spacing w:after="0" w:line="240" w:lineRule="auto"/>
        <w:rPr>
          <w:bCs/>
        </w:rPr>
      </w:pPr>
    </w:p>
    <w:p w14:paraId="34D417CF" w14:textId="17B81783" w:rsidR="00E96DF1" w:rsidRPr="00F33752" w:rsidRDefault="00A62F82" w:rsidP="003059D3">
      <w:pPr>
        <w:spacing w:after="0" w:line="240" w:lineRule="auto"/>
        <w:rPr>
          <w:bCs/>
        </w:rPr>
      </w:pPr>
      <w:r w:rsidRPr="00F33752">
        <w:rPr>
          <w:b/>
        </w:rPr>
        <w:t>Full Review Programs</w:t>
      </w:r>
      <w:r w:rsidRPr="00F33752">
        <w:rPr>
          <w:bCs/>
        </w:rPr>
        <w:t>:</w:t>
      </w:r>
      <w:r w:rsidR="005A7977" w:rsidRPr="00F33752">
        <w:rPr>
          <w:bCs/>
        </w:rPr>
        <w:t xml:space="preserve"> Upon IACBE approval of the program students in this program are considered to have graduated from an IACBE-accredited program if (the earlier of): they were active in the program at the time the IACBE receives the application, or if outcomes results are submitted with the application - they were in the class of graduates that were included in those results.</w:t>
      </w:r>
    </w:p>
    <w:p w14:paraId="0C6ACD84" w14:textId="77777777" w:rsidR="002E6216" w:rsidRPr="00F33752" w:rsidRDefault="002E6216" w:rsidP="003059D3">
      <w:pPr>
        <w:spacing w:after="0" w:line="240" w:lineRule="auto"/>
        <w:rPr>
          <w:bCs/>
        </w:rPr>
      </w:pPr>
    </w:p>
    <w:p w14:paraId="2DDAAC15" w14:textId="15D6845E" w:rsidR="003059D3" w:rsidRDefault="00A62F82" w:rsidP="00E96DF1">
      <w:pPr>
        <w:spacing w:after="0" w:line="240" w:lineRule="auto"/>
        <w:rPr>
          <w:b/>
          <w:sz w:val="28"/>
          <w:szCs w:val="28"/>
        </w:rPr>
      </w:pPr>
      <w:r w:rsidRPr="00F33752">
        <w:rPr>
          <w:b/>
        </w:rPr>
        <w:t>New Degree Levels</w:t>
      </w:r>
      <w:r w:rsidRPr="00F33752">
        <w:rPr>
          <w:bCs/>
        </w:rPr>
        <w:t>:</w:t>
      </w:r>
      <w:r w:rsidR="005A7977" w:rsidRPr="00F33752">
        <w:rPr>
          <w:bCs/>
        </w:rPr>
        <w:t xml:space="preserve"> Students in this program are considered to have graduated from an IACBE-accredited program if they graduate after IACBE approval of the program.</w:t>
      </w:r>
      <w:r w:rsidR="003059D3">
        <w:rPr>
          <w:b/>
          <w:sz w:val="28"/>
          <w:szCs w:val="28"/>
        </w:rPr>
        <w:br w:type="page"/>
      </w:r>
    </w:p>
    <w:p w14:paraId="1536561E" w14:textId="77777777" w:rsidR="003059D3" w:rsidRPr="003059D3" w:rsidRDefault="003059D3" w:rsidP="003059D3">
      <w:pPr>
        <w:spacing w:after="0" w:line="240" w:lineRule="auto"/>
        <w:rPr>
          <w:b/>
          <w:sz w:val="28"/>
          <w:szCs w:val="28"/>
        </w:rPr>
      </w:pPr>
    </w:p>
    <w:p w14:paraId="5E08AC64" w14:textId="1CE725EA" w:rsidR="00BB32C2" w:rsidRPr="002E6A3A" w:rsidRDefault="003059D3" w:rsidP="00BB32C2">
      <w:pPr>
        <w:jc w:val="center"/>
        <w:rPr>
          <w:rFonts w:ascii="Calibri" w:hAnsi="Calibri"/>
          <w:b/>
          <w:sz w:val="28"/>
          <w:szCs w:val="28"/>
        </w:rPr>
      </w:pPr>
      <w:r>
        <w:rPr>
          <w:rFonts w:ascii="Calibri" w:hAnsi="Calibri"/>
          <w:b/>
          <w:sz w:val="28"/>
          <w:szCs w:val="28"/>
        </w:rPr>
        <w:t>IACBE S</w:t>
      </w:r>
      <w:r w:rsidR="00BB32C2" w:rsidRPr="002E6A3A">
        <w:rPr>
          <w:rFonts w:ascii="Calibri" w:hAnsi="Calibri"/>
          <w:b/>
          <w:sz w:val="28"/>
          <w:szCs w:val="28"/>
        </w:rPr>
        <w:t>elf-Study</w:t>
      </w:r>
      <w:r w:rsidR="00466C98" w:rsidRPr="002E6A3A">
        <w:rPr>
          <w:rFonts w:ascii="Calibri" w:hAnsi="Calibri"/>
          <w:b/>
          <w:sz w:val="28"/>
          <w:szCs w:val="28"/>
        </w:rPr>
        <w:t xml:space="preserve"> Requirements</w:t>
      </w:r>
      <w:r>
        <w:rPr>
          <w:rFonts w:ascii="Calibri" w:hAnsi="Calibri"/>
          <w:b/>
          <w:sz w:val="28"/>
          <w:szCs w:val="28"/>
        </w:rPr>
        <w:t xml:space="preserve"> </w:t>
      </w:r>
      <w:r w:rsidR="005A7977">
        <w:rPr>
          <w:rFonts w:ascii="Calibri" w:hAnsi="Calibri"/>
          <w:b/>
          <w:sz w:val="28"/>
          <w:szCs w:val="28"/>
        </w:rPr>
        <w:t>f</w:t>
      </w:r>
      <w:r>
        <w:rPr>
          <w:rFonts w:ascii="Calibri" w:hAnsi="Calibri"/>
          <w:b/>
          <w:sz w:val="28"/>
          <w:szCs w:val="28"/>
        </w:rPr>
        <w:t>or New Programs</w:t>
      </w:r>
    </w:p>
    <w:p w14:paraId="346EC26C" w14:textId="34CFD07F" w:rsidR="00466C98" w:rsidRPr="00E96DF1" w:rsidRDefault="00AD2637" w:rsidP="00BB32C2">
      <w:pPr>
        <w:jc w:val="center"/>
        <w:rPr>
          <w:rFonts w:ascii="Calibri" w:hAnsi="Calibri"/>
          <w:b/>
          <w:i/>
          <w:iCs/>
          <w:color w:val="FF0000"/>
          <w:sz w:val="24"/>
          <w:szCs w:val="24"/>
        </w:rPr>
      </w:pPr>
      <w:bookmarkStart w:id="0" w:name="_Hlk94860300"/>
      <w:r w:rsidRPr="00E96DF1">
        <w:rPr>
          <w:rFonts w:ascii="Calibri" w:hAnsi="Calibri"/>
          <w:b/>
          <w:i/>
          <w:iCs/>
          <w:color w:val="FF0000"/>
          <w:sz w:val="24"/>
          <w:szCs w:val="24"/>
        </w:rPr>
        <w:t xml:space="preserve">Contact </w:t>
      </w:r>
      <w:r w:rsidR="005A7977" w:rsidRPr="00E96DF1">
        <w:rPr>
          <w:rFonts w:ascii="Calibri" w:hAnsi="Calibri"/>
          <w:b/>
          <w:i/>
          <w:iCs/>
          <w:color w:val="FF0000"/>
          <w:sz w:val="24"/>
          <w:szCs w:val="24"/>
        </w:rPr>
        <w:t>your IACBE Liaison</w:t>
      </w:r>
      <w:r w:rsidRPr="00E96DF1">
        <w:rPr>
          <w:rFonts w:ascii="Calibri" w:hAnsi="Calibri"/>
          <w:b/>
          <w:i/>
          <w:iCs/>
          <w:color w:val="FF0000"/>
          <w:sz w:val="24"/>
          <w:szCs w:val="24"/>
        </w:rPr>
        <w:t xml:space="preserve"> for guidance – prior to beginning any of the</w:t>
      </w:r>
      <w:r w:rsidR="005A7977" w:rsidRPr="00E96DF1">
        <w:rPr>
          <w:rFonts w:ascii="Calibri" w:hAnsi="Calibri"/>
          <w:b/>
          <w:i/>
          <w:iCs/>
          <w:color w:val="FF0000"/>
          <w:sz w:val="24"/>
          <w:szCs w:val="24"/>
        </w:rPr>
        <w:t xml:space="preserve"> following</w:t>
      </w:r>
      <w:r w:rsidRPr="00E96DF1">
        <w:rPr>
          <w:rFonts w:ascii="Calibri" w:hAnsi="Calibri"/>
          <w:b/>
          <w:i/>
          <w:iCs/>
          <w:color w:val="FF0000"/>
          <w:sz w:val="24"/>
          <w:szCs w:val="24"/>
        </w:rPr>
        <w:t xml:space="preserve"> – </w:t>
      </w:r>
      <w:r w:rsidR="00254BB8" w:rsidRPr="00E96DF1">
        <w:rPr>
          <w:rFonts w:ascii="Calibri" w:hAnsi="Calibri"/>
          <w:b/>
          <w:i/>
          <w:iCs/>
          <w:color w:val="FF0000"/>
          <w:sz w:val="24"/>
          <w:szCs w:val="24"/>
        </w:rPr>
        <w:t xml:space="preserve">to ensure you follow the appropriate </w:t>
      </w:r>
      <w:r w:rsidR="00E96DF1" w:rsidRPr="00E96DF1">
        <w:rPr>
          <w:rFonts w:ascii="Calibri" w:hAnsi="Calibri"/>
          <w:b/>
          <w:i/>
          <w:iCs/>
          <w:color w:val="FF0000"/>
          <w:sz w:val="24"/>
          <w:szCs w:val="24"/>
        </w:rPr>
        <w:t>path</w:t>
      </w:r>
    </w:p>
    <w:tbl>
      <w:tblPr>
        <w:tblStyle w:val="TableGrid"/>
        <w:tblW w:w="0" w:type="auto"/>
        <w:tblLook w:val="04A0" w:firstRow="1" w:lastRow="0" w:firstColumn="1" w:lastColumn="0" w:noHBand="0" w:noVBand="1"/>
      </w:tblPr>
      <w:tblGrid>
        <w:gridCol w:w="4045"/>
        <w:gridCol w:w="1800"/>
        <w:gridCol w:w="1800"/>
        <w:gridCol w:w="2970"/>
        <w:gridCol w:w="2880"/>
      </w:tblGrid>
      <w:tr w:rsidR="00400052" w:rsidRPr="00F33752" w14:paraId="1AA7EA82" w14:textId="1BD56034" w:rsidTr="004A0443">
        <w:tc>
          <w:tcPr>
            <w:tcW w:w="4045" w:type="dxa"/>
          </w:tcPr>
          <w:bookmarkEnd w:id="0"/>
          <w:p w14:paraId="103C892A" w14:textId="62E73625" w:rsidR="00400052" w:rsidRPr="00F33752" w:rsidRDefault="00400052" w:rsidP="00254BB8">
            <w:pPr>
              <w:jc w:val="center"/>
              <w:rPr>
                <w:rFonts w:cstheme="minorHAnsi"/>
                <w:b/>
                <w:bCs/>
              </w:rPr>
            </w:pPr>
            <w:r w:rsidRPr="00F33752">
              <w:rPr>
                <w:rFonts w:cstheme="minorHAnsi"/>
                <w:b/>
                <w:bCs/>
              </w:rPr>
              <w:t>Self-Study Manual</w:t>
            </w:r>
          </w:p>
        </w:tc>
        <w:tc>
          <w:tcPr>
            <w:tcW w:w="1800" w:type="dxa"/>
            <w:vAlign w:val="center"/>
          </w:tcPr>
          <w:p w14:paraId="724CCA8B" w14:textId="734828DD" w:rsidR="00400052" w:rsidRPr="00F33752" w:rsidRDefault="00400052" w:rsidP="00254BB8">
            <w:pPr>
              <w:jc w:val="center"/>
              <w:rPr>
                <w:rFonts w:cstheme="minorHAnsi"/>
                <w:b/>
                <w:bCs/>
              </w:rPr>
            </w:pPr>
            <w:r w:rsidRPr="00F33752">
              <w:rPr>
                <w:rFonts w:cstheme="minorHAnsi"/>
                <w:b/>
                <w:bCs/>
              </w:rPr>
              <w:t>Desk Review</w:t>
            </w:r>
          </w:p>
        </w:tc>
        <w:tc>
          <w:tcPr>
            <w:tcW w:w="1800" w:type="dxa"/>
            <w:vAlign w:val="center"/>
          </w:tcPr>
          <w:p w14:paraId="23267895" w14:textId="7572707F" w:rsidR="00400052" w:rsidRPr="00F33752" w:rsidRDefault="00400052" w:rsidP="00254BB8">
            <w:pPr>
              <w:jc w:val="center"/>
              <w:rPr>
                <w:rFonts w:cstheme="minorHAnsi"/>
                <w:b/>
                <w:bCs/>
              </w:rPr>
            </w:pPr>
            <w:r w:rsidRPr="00F33752">
              <w:rPr>
                <w:rFonts w:cstheme="minorHAnsi"/>
                <w:b/>
                <w:bCs/>
              </w:rPr>
              <w:t>Fast Track</w:t>
            </w:r>
          </w:p>
        </w:tc>
        <w:tc>
          <w:tcPr>
            <w:tcW w:w="2970" w:type="dxa"/>
            <w:vAlign w:val="center"/>
          </w:tcPr>
          <w:p w14:paraId="5157EBFF" w14:textId="6D725EE8" w:rsidR="00400052" w:rsidRPr="00F33752" w:rsidRDefault="00400052" w:rsidP="00254BB8">
            <w:pPr>
              <w:jc w:val="center"/>
              <w:rPr>
                <w:rFonts w:cstheme="minorHAnsi"/>
                <w:b/>
                <w:bCs/>
              </w:rPr>
            </w:pPr>
            <w:r w:rsidRPr="00F33752">
              <w:rPr>
                <w:rFonts w:cstheme="minorHAnsi"/>
                <w:b/>
                <w:bCs/>
              </w:rPr>
              <w:t>Full Review</w:t>
            </w:r>
            <w:r w:rsidR="00131C73">
              <w:rPr>
                <w:rFonts w:cstheme="minorHAnsi"/>
                <w:b/>
                <w:bCs/>
              </w:rPr>
              <w:t xml:space="preserve"> *</w:t>
            </w:r>
          </w:p>
        </w:tc>
        <w:tc>
          <w:tcPr>
            <w:tcW w:w="2880" w:type="dxa"/>
            <w:vAlign w:val="center"/>
          </w:tcPr>
          <w:p w14:paraId="63D86D6D" w14:textId="105C4479" w:rsidR="00400052" w:rsidRPr="00F33752" w:rsidRDefault="00400052" w:rsidP="00254BB8">
            <w:pPr>
              <w:jc w:val="center"/>
              <w:rPr>
                <w:rFonts w:cstheme="minorHAnsi"/>
                <w:b/>
                <w:bCs/>
              </w:rPr>
            </w:pPr>
            <w:r w:rsidRPr="00F33752">
              <w:rPr>
                <w:rFonts w:cstheme="minorHAnsi"/>
                <w:b/>
                <w:bCs/>
              </w:rPr>
              <w:t>New Degree Level</w:t>
            </w:r>
            <w:r w:rsidR="00131C73">
              <w:rPr>
                <w:rFonts w:cstheme="minorHAnsi"/>
                <w:b/>
                <w:bCs/>
              </w:rPr>
              <w:t xml:space="preserve"> *</w:t>
            </w:r>
          </w:p>
        </w:tc>
      </w:tr>
      <w:tr w:rsidR="00400052" w:rsidRPr="00F33752" w14:paraId="1104B778" w14:textId="00EAD3D4" w:rsidTr="004A0443">
        <w:tc>
          <w:tcPr>
            <w:tcW w:w="4045" w:type="dxa"/>
          </w:tcPr>
          <w:p w14:paraId="33F84018" w14:textId="72C49B4C" w:rsidR="00400052" w:rsidRPr="00F33752" w:rsidRDefault="00400052">
            <w:pPr>
              <w:rPr>
                <w:rFonts w:cstheme="minorHAnsi"/>
              </w:rPr>
            </w:pPr>
            <w:r w:rsidRPr="00F33752">
              <w:rPr>
                <w:rFonts w:cstheme="minorHAnsi"/>
              </w:rPr>
              <w:t>Profile Information</w:t>
            </w:r>
          </w:p>
        </w:tc>
        <w:tc>
          <w:tcPr>
            <w:tcW w:w="1800" w:type="dxa"/>
            <w:vAlign w:val="center"/>
          </w:tcPr>
          <w:p w14:paraId="2275B5D8" w14:textId="77777777" w:rsidR="00400052" w:rsidRPr="00F33752" w:rsidRDefault="00400052" w:rsidP="00C839BE">
            <w:pPr>
              <w:jc w:val="center"/>
              <w:rPr>
                <w:rFonts w:cstheme="minorHAnsi"/>
              </w:rPr>
            </w:pPr>
          </w:p>
        </w:tc>
        <w:tc>
          <w:tcPr>
            <w:tcW w:w="1800" w:type="dxa"/>
            <w:vAlign w:val="center"/>
          </w:tcPr>
          <w:p w14:paraId="35F25E19" w14:textId="7955AECD" w:rsidR="00400052" w:rsidRPr="00F33752" w:rsidRDefault="00400052" w:rsidP="00C839BE">
            <w:pPr>
              <w:jc w:val="center"/>
              <w:rPr>
                <w:rFonts w:cstheme="minorHAnsi"/>
              </w:rPr>
            </w:pPr>
          </w:p>
        </w:tc>
        <w:tc>
          <w:tcPr>
            <w:tcW w:w="2970" w:type="dxa"/>
            <w:vAlign w:val="center"/>
          </w:tcPr>
          <w:p w14:paraId="2DA380B5" w14:textId="36245ED3" w:rsidR="00400052" w:rsidRPr="00F33752" w:rsidRDefault="00400052" w:rsidP="00C839BE">
            <w:pPr>
              <w:jc w:val="center"/>
              <w:rPr>
                <w:rFonts w:cstheme="minorHAnsi"/>
              </w:rPr>
            </w:pPr>
            <w:r w:rsidRPr="00F33752">
              <w:rPr>
                <w:rFonts w:cstheme="minorHAnsi"/>
              </w:rPr>
              <w:t>X</w:t>
            </w:r>
          </w:p>
        </w:tc>
        <w:tc>
          <w:tcPr>
            <w:tcW w:w="2880" w:type="dxa"/>
            <w:vAlign w:val="center"/>
          </w:tcPr>
          <w:p w14:paraId="4BCD2EB4" w14:textId="00A0F57C" w:rsidR="00400052" w:rsidRPr="00F33752" w:rsidRDefault="00400052" w:rsidP="00C839BE">
            <w:pPr>
              <w:jc w:val="center"/>
              <w:rPr>
                <w:rFonts w:cstheme="minorHAnsi"/>
              </w:rPr>
            </w:pPr>
            <w:r w:rsidRPr="00F33752">
              <w:rPr>
                <w:rFonts w:cstheme="minorHAnsi"/>
              </w:rPr>
              <w:t>X</w:t>
            </w:r>
          </w:p>
        </w:tc>
      </w:tr>
      <w:tr w:rsidR="00400052" w:rsidRPr="00F33752" w14:paraId="5D78132D" w14:textId="0DDEAE70" w:rsidTr="004A0443">
        <w:tc>
          <w:tcPr>
            <w:tcW w:w="4045" w:type="dxa"/>
          </w:tcPr>
          <w:p w14:paraId="41590DB7" w14:textId="3551ADCC" w:rsidR="00400052" w:rsidRPr="00F33752" w:rsidRDefault="00400052">
            <w:pPr>
              <w:rPr>
                <w:rFonts w:cstheme="minorHAnsi"/>
              </w:rPr>
            </w:pPr>
            <w:r w:rsidRPr="00F33752">
              <w:rPr>
                <w:rFonts w:cstheme="minorHAnsi"/>
              </w:rPr>
              <w:t>Principle 2</w:t>
            </w:r>
            <w:r w:rsidR="00840F94" w:rsidRPr="00F33752">
              <w:rPr>
                <w:rFonts w:cstheme="minorHAnsi"/>
              </w:rPr>
              <w:t>: Quality Assessment and Advancement</w:t>
            </w:r>
          </w:p>
          <w:p w14:paraId="0F0FD916" w14:textId="0152C250" w:rsidR="00400052" w:rsidRPr="00F33752" w:rsidRDefault="00400052">
            <w:pPr>
              <w:rPr>
                <w:rFonts w:cstheme="minorHAnsi"/>
              </w:rPr>
            </w:pPr>
          </w:p>
        </w:tc>
        <w:tc>
          <w:tcPr>
            <w:tcW w:w="1800" w:type="dxa"/>
            <w:vAlign w:val="center"/>
          </w:tcPr>
          <w:p w14:paraId="26BE06BC" w14:textId="2352E15D" w:rsidR="00400052" w:rsidRPr="00F33752" w:rsidRDefault="00400052" w:rsidP="00C839BE">
            <w:pPr>
              <w:jc w:val="center"/>
              <w:rPr>
                <w:rFonts w:cstheme="minorHAnsi"/>
              </w:rPr>
            </w:pPr>
            <w:r w:rsidRPr="00F33752">
              <w:rPr>
                <w:rFonts w:cstheme="minorHAnsi"/>
              </w:rPr>
              <w:t>Forward-looking OAP only</w:t>
            </w:r>
          </w:p>
        </w:tc>
        <w:tc>
          <w:tcPr>
            <w:tcW w:w="1800" w:type="dxa"/>
            <w:vAlign w:val="center"/>
          </w:tcPr>
          <w:p w14:paraId="2BFA5623" w14:textId="5792991C" w:rsidR="00400052" w:rsidRPr="00F33752" w:rsidRDefault="00400052" w:rsidP="00B36D2D">
            <w:pPr>
              <w:jc w:val="center"/>
              <w:rPr>
                <w:rFonts w:cstheme="minorHAnsi"/>
              </w:rPr>
            </w:pPr>
            <w:r w:rsidRPr="00F33752">
              <w:rPr>
                <w:rFonts w:cstheme="minorHAnsi"/>
              </w:rPr>
              <w:t>Forward-looking OAP only</w:t>
            </w:r>
          </w:p>
        </w:tc>
        <w:tc>
          <w:tcPr>
            <w:tcW w:w="2970" w:type="dxa"/>
            <w:vAlign w:val="center"/>
          </w:tcPr>
          <w:p w14:paraId="0E237503" w14:textId="56EED631" w:rsidR="00400052" w:rsidRPr="00F33752" w:rsidRDefault="00400052" w:rsidP="00C839BE">
            <w:pPr>
              <w:jc w:val="center"/>
              <w:rPr>
                <w:rFonts w:cstheme="minorHAnsi"/>
              </w:rPr>
            </w:pPr>
            <w:r w:rsidRPr="00F33752">
              <w:rPr>
                <w:rFonts w:cstheme="minorHAnsi"/>
              </w:rPr>
              <w:t>One set of outcomes results</w:t>
            </w:r>
            <w:r w:rsidR="00F56421" w:rsidRPr="00F33752">
              <w:rPr>
                <w:rFonts w:cstheme="minorHAnsi"/>
              </w:rPr>
              <w:t>,</w:t>
            </w:r>
            <w:r w:rsidRPr="00F33752">
              <w:rPr>
                <w:rFonts w:cstheme="minorHAnsi"/>
              </w:rPr>
              <w:t xml:space="preserve"> if available</w:t>
            </w:r>
          </w:p>
        </w:tc>
        <w:tc>
          <w:tcPr>
            <w:tcW w:w="2880" w:type="dxa"/>
            <w:vAlign w:val="center"/>
          </w:tcPr>
          <w:p w14:paraId="32D6C7BE" w14:textId="63F2B402" w:rsidR="00400052" w:rsidRPr="00F33752" w:rsidRDefault="00F56421" w:rsidP="00B36D2D">
            <w:pPr>
              <w:jc w:val="center"/>
              <w:rPr>
                <w:rFonts w:cstheme="minorHAnsi"/>
              </w:rPr>
            </w:pPr>
            <w:r w:rsidRPr="00F33752">
              <w:rPr>
                <w:rFonts w:cstheme="minorHAnsi"/>
              </w:rPr>
              <w:t>X</w:t>
            </w:r>
          </w:p>
        </w:tc>
      </w:tr>
      <w:tr w:rsidR="00400052" w:rsidRPr="00F33752" w14:paraId="2C07DC93" w14:textId="74B9A1AE" w:rsidTr="004A0443">
        <w:tc>
          <w:tcPr>
            <w:tcW w:w="4045" w:type="dxa"/>
          </w:tcPr>
          <w:p w14:paraId="29ADCFA8" w14:textId="351CB7AF" w:rsidR="00400052" w:rsidRPr="00F33752" w:rsidRDefault="00400052">
            <w:pPr>
              <w:rPr>
                <w:rFonts w:cstheme="minorHAnsi"/>
              </w:rPr>
            </w:pPr>
            <w:r w:rsidRPr="00F33752">
              <w:rPr>
                <w:rFonts w:cstheme="minorHAnsi"/>
              </w:rPr>
              <w:t>Principle 4</w:t>
            </w:r>
            <w:r w:rsidR="00840F94" w:rsidRPr="00F33752">
              <w:rPr>
                <w:rFonts w:cstheme="minorHAnsi"/>
              </w:rPr>
              <w:t>: Business Curricula and Learning Opportunities</w:t>
            </w:r>
          </w:p>
        </w:tc>
        <w:tc>
          <w:tcPr>
            <w:tcW w:w="1800" w:type="dxa"/>
            <w:vAlign w:val="center"/>
          </w:tcPr>
          <w:p w14:paraId="3CC9338E" w14:textId="0CA8F36C" w:rsidR="00770BBA" w:rsidRPr="00F33752" w:rsidRDefault="00770BBA" w:rsidP="00770BBA">
            <w:pPr>
              <w:jc w:val="center"/>
              <w:rPr>
                <w:rFonts w:cstheme="minorHAnsi"/>
              </w:rPr>
            </w:pPr>
          </w:p>
        </w:tc>
        <w:tc>
          <w:tcPr>
            <w:tcW w:w="1800" w:type="dxa"/>
            <w:vAlign w:val="center"/>
          </w:tcPr>
          <w:p w14:paraId="213F6F0E" w14:textId="239BE8C0" w:rsidR="00400052" w:rsidRPr="00F33752" w:rsidRDefault="00F56421" w:rsidP="00C839BE">
            <w:pPr>
              <w:jc w:val="center"/>
              <w:rPr>
                <w:rFonts w:cstheme="minorHAnsi"/>
              </w:rPr>
            </w:pPr>
            <w:r w:rsidRPr="00F33752">
              <w:rPr>
                <w:rFonts w:cstheme="minorHAnsi"/>
              </w:rPr>
              <w:t>X</w:t>
            </w:r>
          </w:p>
        </w:tc>
        <w:tc>
          <w:tcPr>
            <w:tcW w:w="2970" w:type="dxa"/>
            <w:vAlign w:val="center"/>
          </w:tcPr>
          <w:p w14:paraId="742CDE33" w14:textId="1B2DF0E1" w:rsidR="00400052" w:rsidRPr="00F33752" w:rsidRDefault="00400052" w:rsidP="00C839BE">
            <w:pPr>
              <w:jc w:val="center"/>
              <w:rPr>
                <w:rFonts w:cstheme="minorHAnsi"/>
              </w:rPr>
            </w:pPr>
            <w:r w:rsidRPr="00F33752">
              <w:rPr>
                <w:rFonts w:cstheme="minorHAnsi"/>
              </w:rPr>
              <w:t>X</w:t>
            </w:r>
          </w:p>
        </w:tc>
        <w:tc>
          <w:tcPr>
            <w:tcW w:w="2880" w:type="dxa"/>
            <w:vAlign w:val="center"/>
          </w:tcPr>
          <w:p w14:paraId="107C925D" w14:textId="7E162F18" w:rsidR="00400052" w:rsidRPr="00F33752" w:rsidRDefault="00400052" w:rsidP="00C839BE">
            <w:pPr>
              <w:jc w:val="center"/>
              <w:rPr>
                <w:rFonts w:cstheme="minorHAnsi"/>
              </w:rPr>
            </w:pPr>
            <w:r w:rsidRPr="00F33752">
              <w:rPr>
                <w:rFonts w:cstheme="minorHAnsi"/>
              </w:rPr>
              <w:t>X</w:t>
            </w:r>
          </w:p>
        </w:tc>
      </w:tr>
      <w:tr w:rsidR="00400052" w:rsidRPr="00F33752" w14:paraId="630AA001" w14:textId="1607C0E5" w:rsidTr="004A0443">
        <w:tc>
          <w:tcPr>
            <w:tcW w:w="4045" w:type="dxa"/>
          </w:tcPr>
          <w:p w14:paraId="44A5C23A" w14:textId="7D372A7A" w:rsidR="00400052" w:rsidRPr="00F33752" w:rsidRDefault="00400052">
            <w:pPr>
              <w:rPr>
                <w:rFonts w:cstheme="minorHAnsi"/>
              </w:rPr>
            </w:pPr>
            <w:r w:rsidRPr="00F33752">
              <w:rPr>
                <w:rFonts w:cstheme="minorHAnsi"/>
              </w:rPr>
              <w:t>Principle 5</w:t>
            </w:r>
            <w:r w:rsidR="00840F94" w:rsidRPr="00F33752">
              <w:rPr>
                <w:rFonts w:cstheme="minorHAnsi"/>
              </w:rPr>
              <w:t>: Business Faculty Characteristics, Activities, and Processes</w:t>
            </w:r>
          </w:p>
        </w:tc>
        <w:tc>
          <w:tcPr>
            <w:tcW w:w="1800" w:type="dxa"/>
            <w:vAlign w:val="center"/>
          </w:tcPr>
          <w:p w14:paraId="5854176A" w14:textId="77777777" w:rsidR="00400052" w:rsidRPr="00F33752" w:rsidRDefault="00400052" w:rsidP="00C839BE">
            <w:pPr>
              <w:jc w:val="center"/>
              <w:rPr>
                <w:rFonts w:cstheme="minorHAnsi"/>
              </w:rPr>
            </w:pPr>
          </w:p>
        </w:tc>
        <w:tc>
          <w:tcPr>
            <w:tcW w:w="1800" w:type="dxa"/>
            <w:vAlign w:val="center"/>
          </w:tcPr>
          <w:p w14:paraId="66E13710" w14:textId="28CE2D1B" w:rsidR="00400052" w:rsidRPr="00F33752" w:rsidRDefault="00400052" w:rsidP="00C839BE">
            <w:pPr>
              <w:jc w:val="center"/>
              <w:rPr>
                <w:rFonts w:cstheme="minorHAnsi"/>
              </w:rPr>
            </w:pPr>
          </w:p>
        </w:tc>
        <w:tc>
          <w:tcPr>
            <w:tcW w:w="2970" w:type="dxa"/>
            <w:vAlign w:val="center"/>
          </w:tcPr>
          <w:p w14:paraId="794C3A39" w14:textId="382A492E" w:rsidR="005F77E9" w:rsidRPr="00F33752" w:rsidRDefault="00400052" w:rsidP="00770BBA">
            <w:pPr>
              <w:jc w:val="center"/>
              <w:rPr>
                <w:rFonts w:cstheme="minorHAnsi"/>
              </w:rPr>
            </w:pPr>
            <w:r w:rsidRPr="00F33752">
              <w:rPr>
                <w:rFonts w:cstheme="minorHAnsi"/>
              </w:rPr>
              <w:t>X</w:t>
            </w:r>
          </w:p>
        </w:tc>
        <w:tc>
          <w:tcPr>
            <w:tcW w:w="2880" w:type="dxa"/>
            <w:vAlign w:val="center"/>
          </w:tcPr>
          <w:p w14:paraId="427FD321" w14:textId="72A0263D" w:rsidR="005F77E9" w:rsidRPr="00F33752" w:rsidRDefault="00400052" w:rsidP="00770BBA">
            <w:pPr>
              <w:jc w:val="center"/>
              <w:rPr>
                <w:rFonts w:cstheme="minorHAnsi"/>
              </w:rPr>
            </w:pPr>
            <w:r w:rsidRPr="00F33752">
              <w:rPr>
                <w:rFonts w:cstheme="minorHAnsi"/>
              </w:rPr>
              <w:t>X</w:t>
            </w:r>
          </w:p>
        </w:tc>
      </w:tr>
      <w:tr w:rsidR="00400052" w:rsidRPr="00F33752" w14:paraId="18DFD9CC" w14:textId="3CD36CD5" w:rsidTr="004A0443">
        <w:tc>
          <w:tcPr>
            <w:tcW w:w="4045" w:type="dxa"/>
          </w:tcPr>
          <w:p w14:paraId="29A92513" w14:textId="02050180" w:rsidR="00400052" w:rsidRPr="00F33752" w:rsidRDefault="00400052">
            <w:pPr>
              <w:rPr>
                <w:rFonts w:cstheme="minorHAnsi"/>
              </w:rPr>
            </w:pPr>
            <w:r w:rsidRPr="00F33752">
              <w:rPr>
                <w:rFonts w:cstheme="minorHAnsi"/>
              </w:rPr>
              <w:t>Principle 6: Policies, Procedures, and Processes</w:t>
            </w:r>
          </w:p>
        </w:tc>
        <w:tc>
          <w:tcPr>
            <w:tcW w:w="1800" w:type="dxa"/>
            <w:vAlign w:val="center"/>
          </w:tcPr>
          <w:p w14:paraId="54CBF0F4" w14:textId="77777777" w:rsidR="00400052" w:rsidRPr="00F33752" w:rsidRDefault="00400052" w:rsidP="00C839BE">
            <w:pPr>
              <w:jc w:val="center"/>
              <w:rPr>
                <w:rFonts w:cstheme="minorHAnsi"/>
              </w:rPr>
            </w:pPr>
          </w:p>
        </w:tc>
        <w:tc>
          <w:tcPr>
            <w:tcW w:w="1800" w:type="dxa"/>
            <w:vAlign w:val="center"/>
          </w:tcPr>
          <w:p w14:paraId="4B7B47AE" w14:textId="77777777" w:rsidR="00400052" w:rsidRPr="00F33752" w:rsidRDefault="00400052" w:rsidP="00C839BE">
            <w:pPr>
              <w:jc w:val="center"/>
              <w:rPr>
                <w:rFonts w:cstheme="minorHAnsi"/>
              </w:rPr>
            </w:pPr>
          </w:p>
        </w:tc>
        <w:tc>
          <w:tcPr>
            <w:tcW w:w="2970" w:type="dxa"/>
            <w:vAlign w:val="center"/>
          </w:tcPr>
          <w:p w14:paraId="6B224B4F" w14:textId="690A4EBB" w:rsidR="00400052" w:rsidRPr="00F33752" w:rsidRDefault="00400052" w:rsidP="00C839BE">
            <w:pPr>
              <w:jc w:val="center"/>
              <w:rPr>
                <w:rFonts w:cstheme="minorHAnsi"/>
              </w:rPr>
            </w:pPr>
          </w:p>
        </w:tc>
        <w:tc>
          <w:tcPr>
            <w:tcW w:w="2880" w:type="dxa"/>
            <w:vAlign w:val="center"/>
          </w:tcPr>
          <w:p w14:paraId="16030B09" w14:textId="54AC5386" w:rsidR="00400052" w:rsidRPr="00F33752" w:rsidRDefault="00400052" w:rsidP="00C839BE">
            <w:pPr>
              <w:jc w:val="center"/>
              <w:rPr>
                <w:rFonts w:cstheme="minorHAnsi"/>
              </w:rPr>
            </w:pPr>
            <w:r w:rsidRPr="00F33752">
              <w:rPr>
                <w:rFonts w:cstheme="minorHAnsi"/>
              </w:rPr>
              <w:t>X</w:t>
            </w:r>
          </w:p>
        </w:tc>
      </w:tr>
      <w:tr w:rsidR="00400052" w:rsidRPr="00F33752" w14:paraId="760715DF" w14:textId="0DCB2214" w:rsidTr="004A0443">
        <w:tc>
          <w:tcPr>
            <w:tcW w:w="4045" w:type="dxa"/>
          </w:tcPr>
          <w:p w14:paraId="5EB33436" w14:textId="0BC26FBD" w:rsidR="00400052" w:rsidRPr="00F33752" w:rsidRDefault="00400052">
            <w:pPr>
              <w:rPr>
                <w:rFonts w:cstheme="minorHAnsi"/>
              </w:rPr>
            </w:pPr>
            <w:r w:rsidRPr="00F33752">
              <w:rPr>
                <w:rFonts w:cstheme="minorHAnsi"/>
              </w:rPr>
              <w:t>Principle 7: Resources Supporting Business Programs</w:t>
            </w:r>
          </w:p>
        </w:tc>
        <w:tc>
          <w:tcPr>
            <w:tcW w:w="1800" w:type="dxa"/>
            <w:vAlign w:val="center"/>
          </w:tcPr>
          <w:p w14:paraId="088276D0" w14:textId="77777777" w:rsidR="00400052" w:rsidRPr="00F33752" w:rsidRDefault="00400052" w:rsidP="00C839BE">
            <w:pPr>
              <w:jc w:val="center"/>
              <w:rPr>
                <w:rFonts w:cstheme="minorHAnsi"/>
              </w:rPr>
            </w:pPr>
          </w:p>
        </w:tc>
        <w:tc>
          <w:tcPr>
            <w:tcW w:w="1800" w:type="dxa"/>
            <w:vAlign w:val="center"/>
          </w:tcPr>
          <w:p w14:paraId="00BBCF35" w14:textId="5133D077" w:rsidR="00400052" w:rsidRPr="00F33752" w:rsidRDefault="00400052" w:rsidP="00C839BE">
            <w:pPr>
              <w:jc w:val="center"/>
              <w:rPr>
                <w:rFonts w:cstheme="minorHAnsi"/>
              </w:rPr>
            </w:pPr>
          </w:p>
        </w:tc>
        <w:tc>
          <w:tcPr>
            <w:tcW w:w="2970" w:type="dxa"/>
            <w:vAlign w:val="center"/>
          </w:tcPr>
          <w:p w14:paraId="0288073F" w14:textId="56F901AC" w:rsidR="005F77E9" w:rsidRPr="00F33752" w:rsidRDefault="005F77E9" w:rsidP="00770BBA">
            <w:pPr>
              <w:jc w:val="center"/>
              <w:rPr>
                <w:rFonts w:cstheme="minorHAnsi"/>
              </w:rPr>
            </w:pPr>
            <w:r w:rsidRPr="00F33752">
              <w:rPr>
                <w:rFonts w:cstheme="minorHAnsi"/>
              </w:rPr>
              <w:t xml:space="preserve">X </w:t>
            </w:r>
          </w:p>
        </w:tc>
        <w:tc>
          <w:tcPr>
            <w:tcW w:w="2880" w:type="dxa"/>
            <w:vAlign w:val="center"/>
          </w:tcPr>
          <w:p w14:paraId="44E70985" w14:textId="458D811C" w:rsidR="005F77E9" w:rsidRPr="00F33752" w:rsidRDefault="00400052" w:rsidP="00770BBA">
            <w:pPr>
              <w:jc w:val="center"/>
              <w:rPr>
                <w:rFonts w:cstheme="minorHAnsi"/>
              </w:rPr>
            </w:pPr>
            <w:r w:rsidRPr="00F33752">
              <w:rPr>
                <w:rFonts w:cstheme="minorHAnsi"/>
              </w:rPr>
              <w:t>X</w:t>
            </w:r>
          </w:p>
        </w:tc>
      </w:tr>
      <w:tr w:rsidR="00400052" w:rsidRPr="00F33752" w14:paraId="4068C69D" w14:textId="6E650C41" w:rsidTr="004A0443">
        <w:tc>
          <w:tcPr>
            <w:tcW w:w="4045" w:type="dxa"/>
          </w:tcPr>
          <w:p w14:paraId="08DF155C" w14:textId="5F433CA3" w:rsidR="00400052" w:rsidRPr="00F33752" w:rsidRDefault="00400052">
            <w:pPr>
              <w:rPr>
                <w:rFonts w:cstheme="minorHAnsi"/>
              </w:rPr>
            </w:pPr>
            <w:r w:rsidRPr="00F33752">
              <w:rPr>
                <w:rFonts w:cstheme="minorHAnsi"/>
              </w:rPr>
              <w:t>Principle 8: External Relationships</w:t>
            </w:r>
          </w:p>
        </w:tc>
        <w:tc>
          <w:tcPr>
            <w:tcW w:w="1800" w:type="dxa"/>
          </w:tcPr>
          <w:p w14:paraId="07431332" w14:textId="77777777" w:rsidR="00400052" w:rsidRPr="00F33752" w:rsidRDefault="00400052">
            <w:pPr>
              <w:rPr>
                <w:rFonts w:cstheme="minorHAnsi"/>
              </w:rPr>
            </w:pPr>
          </w:p>
        </w:tc>
        <w:tc>
          <w:tcPr>
            <w:tcW w:w="1800" w:type="dxa"/>
          </w:tcPr>
          <w:p w14:paraId="2E76F08A" w14:textId="77777777" w:rsidR="00400052" w:rsidRPr="00F33752" w:rsidRDefault="00400052">
            <w:pPr>
              <w:rPr>
                <w:rFonts w:cstheme="minorHAnsi"/>
              </w:rPr>
            </w:pPr>
          </w:p>
        </w:tc>
        <w:tc>
          <w:tcPr>
            <w:tcW w:w="2970" w:type="dxa"/>
          </w:tcPr>
          <w:p w14:paraId="5B995570" w14:textId="69EF5080" w:rsidR="00400052" w:rsidRPr="00F33752" w:rsidRDefault="005F77E9" w:rsidP="00770BBA">
            <w:pPr>
              <w:jc w:val="center"/>
              <w:rPr>
                <w:rFonts w:cstheme="minorHAnsi"/>
              </w:rPr>
            </w:pPr>
            <w:r w:rsidRPr="00F33752">
              <w:rPr>
                <w:rFonts w:cstheme="minorHAnsi"/>
              </w:rPr>
              <w:t>X</w:t>
            </w:r>
          </w:p>
        </w:tc>
        <w:tc>
          <w:tcPr>
            <w:tcW w:w="2880" w:type="dxa"/>
            <w:vAlign w:val="center"/>
          </w:tcPr>
          <w:p w14:paraId="35940AC2" w14:textId="3F9B2424" w:rsidR="00400052" w:rsidRPr="00F33752" w:rsidRDefault="005F77E9" w:rsidP="00770BBA">
            <w:pPr>
              <w:jc w:val="center"/>
              <w:rPr>
                <w:rFonts w:cstheme="minorHAnsi"/>
              </w:rPr>
            </w:pPr>
            <w:r w:rsidRPr="00F33752">
              <w:rPr>
                <w:rFonts w:cstheme="minorHAnsi"/>
              </w:rPr>
              <w:t>X</w:t>
            </w:r>
          </w:p>
        </w:tc>
      </w:tr>
      <w:tr w:rsidR="00131C73" w:rsidRPr="00F33752" w14:paraId="7486F7A9" w14:textId="77777777" w:rsidTr="004A0443">
        <w:tc>
          <w:tcPr>
            <w:tcW w:w="7645" w:type="dxa"/>
            <w:gridSpan w:val="3"/>
          </w:tcPr>
          <w:p w14:paraId="44E576F4" w14:textId="60E66E62" w:rsidR="00131C73" w:rsidRPr="00131C73" w:rsidRDefault="00131C73">
            <w:pPr>
              <w:rPr>
                <w:rFonts w:cstheme="minorHAnsi"/>
                <w:b/>
                <w:bCs/>
                <w:i/>
                <w:iCs/>
              </w:rPr>
            </w:pPr>
            <w:r w:rsidRPr="00131C73">
              <w:rPr>
                <w:rFonts w:cstheme="minorHAnsi"/>
                <w:b/>
                <w:bCs/>
                <w:i/>
                <w:iCs/>
              </w:rPr>
              <w:t xml:space="preserve">* </w:t>
            </w:r>
            <w:r w:rsidRPr="00131C73">
              <w:rPr>
                <w:rFonts w:cstheme="minorHAnsi"/>
                <w:i/>
                <w:iCs/>
              </w:rPr>
              <w:t xml:space="preserve">For Full Reviews and New Degree Levels an </w:t>
            </w:r>
            <w:r w:rsidRPr="004A0443">
              <w:rPr>
                <w:rFonts w:cstheme="minorHAnsi"/>
                <w:i/>
                <w:iCs/>
                <w:u w:val="single"/>
              </w:rPr>
              <w:t>Application for Accreditation</w:t>
            </w:r>
            <w:r w:rsidRPr="00131C73">
              <w:rPr>
                <w:rFonts w:cstheme="minorHAnsi"/>
                <w:i/>
                <w:iCs/>
              </w:rPr>
              <w:t xml:space="preserve"> (and accompanying application fee) is due immediately upon confirming one of these approval levels is required.</w:t>
            </w:r>
            <w:r w:rsidR="004A0443">
              <w:rPr>
                <w:rFonts w:cstheme="minorHAnsi"/>
                <w:i/>
                <w:iCs/>
              </w:rPr>
              <w:t xml:space="preserve"> Send to </w:t>
            </w:r>
            <w:hyperlink r:id="rId11" w:history="1">
              <w:r w:rsidR="004A0443" w:rsidRPr="00BB1120">
                <w:rPr>
                  <w:rStyle w:val="Hyperlink"/>
                  <w:rFonts w:cstheme="minorHAnsi"/>
                  <w:i/>
                  <w:iCs/>
                </w:rPr>
                <w:t>iacbe@iacbe.org</w:t>
              </w:r>
            </w:hyperlink>
            <w:r w:rsidR="004A0443">
              <w:rPr>
                <w:rFonts w:cstheme="minorHAnsi"/>
                <w:i/>
                <w:iCs/>
              </w:rPr>
              <w:t xml:space="preserve"> </w:t>
            </w:r>
          </w:p>
        </w:tc>
        <w:tc>
          <w:tcPr>
            <w:tcW w:w="2970" w:type="dxa"/>
            <w:vAlign w:val="center"/>
          </w:tcPr>
          <w:p w14:paraId="32114389" w14:textId="7FEC7A28" w:rsidR="00131C73" w:rsidRPr="00F33752" w:rsidRDefault="00131C73" w:rsidP="00131C73">
            <w:pPr>
              <w:jc w:val="center"/>
              <w:rPr>
                <w:rFonts w:cstheme="minorHAnsi"/>
              </w:rPr>
            </w:pPr>
            <w:r>
              <w:rPr>
                <w:rFonts w:cstheme="minorHAnsi"/>
              </w:rPr>
              <w:t>X</w:t>
            </w:r>
          </w:p>
        </w:tc>
        <w:tc>
          <w:tcPr>
            <w:tcW w:w="2880" w:type="dxa"/>
            <w:vAlign w:val="center"/>
          </w:tcPr>
          <w:p w14:paraId="5B58B0E4" w14:textId="2E174499" w:rsidR="00131C73" w:rsidRPr="00F33752" w:rsidRDefault="00131C73" w:rsidP="00770BBA">
            <w:pPr>
              <w:jc w:val="center"/>
              <w:rPr>
                <w:rFonts w:cstheme="minorHAnsi"/>
              </w:rPr>
            </w:pPr>
            <w:r>
              <w:rPr>
                <w:rFonts w:cstheme="minorHAnsi"/>
              </w:rPr>
              <w:t>X</w:t>
            </w:r>
          </w:p>
        </w:tc>
      </w:tr>
    </w:tbl>
    <w:p w14:paraId="0E397A7E" w14:textId="7BC8ECB7" w:rsidR="009A01F5" w:rsidRPr="00F33752" w:rsidRDefault="009A01F5" w:rsidP="00773045">
      <w:pPr>
        <w:spacing w:after="0" w:line="240" w:lineRule="auto"/>
        <w:rPr>
          <w:b/>
        </w:rPr>
      </w:pPr>
    </w:p>
    <w:p w14:paraId="662E1E44" w14:textId="53BD95D3" w:rsidR="00045C20" w:rsidRPr="00F33752" w:rsidRDefault="00045C20" w:rsidP="00045C20">
      <w:pPr>
        <w:spacing w:after="0" w:line="240" w:lineRule="auto"/>
        <w:jc w:val="center"/>
        <w:rPr>
          <w:b/>
          <w:i/>
          <w:iCs/>
        </w:rPr>
      </w:pPr>
      <w:r w:rsidRPr="00F33752">
        <w:rPr>
          <w:b/>
          <w:i/>
          <w:iCs/>
        </w:rPr>
        <w:t>Responses and materials submitted are to be relevant to the new program only. IACBE may request additional information.</w:t>
      </w:r>
    </w:p>
    <w:p w14:paraId="2263CF06" w14:textId="77777777" w:rsidR="00045C20" w:rsidRPr="00F33752" w:rsidRDefault="00045C20" w:rsidP="00773045">
      <w:pPr>
        <w:spacing w:after="0" w:line="240" w:lineRule="auto"/>
        <w:rPr>
          <w:b/>
        </w:rPr>
      </w:pPr>
    </w:p>
    <w:p w14:paraId="6181AB55" w14:textId="539863FC" w:rsidR="00C839BE" w:rsidRPr="00F33752" w:rsidRDefault="00204BE3" w:rsidP="00773045">
      <w:pPr>
        <w:spacing w:after="0" w:line="240" w:lineRule="auto"/>
        <w:rPr>
          <w:bCs/>
        </w:rPr>
      </w:pPr>
      <w:r w:rsidRPr="00F33752">
        <w:rPr>
          <w:b/>
        </w:rPr>
        <w:t>Desk</w:t>
      </w:r>
      <w:r w:rsidR="00C839BE" w:rsidRPr="00F33752">
        <w:rPr>
          <w:b/>
        </w:rPr>
        <w:t xml:space="preserve"> Review –</w:t>
      </w:r>
      <w:r w:rsidR="00906D0C" w:rsidRPr="00F33752">
        <w:rPr>
          <w:bCs/>
        </w:rPr>
        <w:t>N</w:t>
      </w:r>
      <w:r w:rsidR="00C839BE" w:rsidRPr="00F33752">
        <w:rPr>
          <w:bCs/>
        </w:rPr>
        <w:t xml:space="preserve">ew majors, concentrations, specializations, </w:t>
      </w:r>
      <w:r w:rsidR="00F4052E" w:rsidRPr="00F33752">
        <w:rPr>
          <w:bCs/>
        </w:rPr>
        <w:t>or other focus areas</w:t>
      </w:r>
      <w:r w:rsidR="00466C98" w:rsidRPr="00F33752">
        <w:rPr>
          <w:bCs/>
        </w:rPr>
        <w:t>.</w:t>
      </w:r>
      <w:r w:rsidR="00C839BE" w:rsidRPr="00F33752">
        <w:rPr>
          <w:bCs/>
        </w:rPr>
        <w:t xml:space="preserve"> </w:t>
      </w:r>
      <w:r w:rsidR="00906D0C" w:rsidRPr="00F33752">
        <w:rPr>
          <w:bCs/>
        </w:rPr>
        <w:t>may be a</w:t>
      </w:r>
      <w:r w:rsidR="00F4052E" w:rsidRPr="00F33752">
        <w:rPr>
          <w:bCs/>
        </w:rPr>
        <w:t xml:space="preserve">pproved </w:t>
      </w:r>
      <w:r w:rsidR="00C839BE" w:rsidRPr="00F33752">
        <w:rPr>
          <w:bCs/>
        </w:rPr>
        <w:t>to</w:t>
      </w:r>
      <w:r w:rsidR="00F4052E" w:rsidRPr="00F33752">
        <w:rPr>
          <w:bCs/>
        </w:rPr>
        <w:t xml:space="preserve"> an already</w:t>
      </w:r>
      <w:r w:rsidR="00C839BE" w:rsidRPr="00F33752">
        <w:rPr>
          <w:bCs/>
        </w:rPr>
        <w:t xml:space="preserve"> accredited program </w:t>
      </w:r>
      <w:r w:rsidR="00F4052E" w:rsidRPr="00F33752">
        <w:rPr>
          <w:bCs/>
        </w:rPr>
        <w:t xml:space="preserve">if the overall program maintains the same </w:t>
      </w:r>
      <w:r w:rsidR="009A5FB1" w:rsidRPr="00F33752">
        <w:rPr>
          <w:bCs/>
        </w:rPr>
        <w:t>business core curriculum</w:t>
      </w:r>
      <w:r w:rsidR="00C839BE" w:rsidRPr="00F33752">
        <w:rPr>
          <w:bCs/>
        </w:rPr>
        <w:t>. For example</w:t>
      </w:r>
      <w:r w:rsidR="008543A5" w:rsidRPr="00F33752">
        <w:rPr>
          <w:bCs/>
        </w:rPr>
        <w:t>:</w:t>
      </w:r>
      <w:r w:rsidR="00C839BE" w:rsidRPr="00F33752">
        <w:rPr>
          <w:bCs/>
        </w:rPr>
        <w:t xml:space="preserve"> a </w:t>
      </w:r>
      <w:r w:rsidR="00F4052E" w:rsidRPr="00F33752">
        <w:rPr>
          <w:bCs/>
        </w:rPr>
        <w:t>business unit</w:t>
      </w:r>
      <w:r w:rsidR="00C839BE" w:rsidRPr="00F33752">
        <w:rPr>
          <w:bCs/>
        </w:rPr>
        <w:t xml:space="preserve"> may have an MBA with several concentra</w:t>
      </w:r>
      <w:r w:rsidR="0018350D" w:rsidRPr="00F33752">
        <w:rPr>
          <w:bCs/>
        </w:rPr>
        <w:t>t</w:t>
      </w:r>
      <w:r w:rsidR="00C839BE" w:rsidRPr="00F33752">
        <w:rPr>
          <w:bCs/>
        </w:rPr>
        <w:t>ions and decides to add</w:t>
      </w:r>
      <w:r w:rsidR="00F4052E" w:rsidRPr="00F33752">
        <w:rPr>
          <w:bCs/>
        </w:rPr>
        <w:t xml:space="preserve"> an MBA with a concentration in Marketing.</w:t>
      </w:r>
      <w:r w:rsidR="00C839BE" w:rsidRPr="00F33752">
        <w:rPr>
          <w:bCs/>
        </w:rPr>
        <w:t xml:space="preserve"> </w:t>
      </w:r>
      <w:r w:rsidR="009A01F5" w:rsidRPr="00F33752">
        <w:rPr>
          <w:bCs/>
        </w:rPr>
        <w:t>This review track is conducted at the IACBE Staff level.</w:t>
      </w:r>
    </w:p>
    <w:p w14:paraId="7C490F82" w14:textId="77777777" w:rsidR="00773045" w:rsidRPr="00F33752" w:rsidRDefault="00773045" w:rsidP="00773045">
      <w:pPr>
        <w:spacing w:after="0" w:line="240" w:lineRule="auto"/>
        <w:rPr>
          <w:b/>
        </w:rPr>
      </w:pPr>
    </w:p>
    <w:p w14:paraId="7FB13A7D" w14:textId="7E2BBFE9" w:rsidR="00C839BE" w:rsidRPr="00F33752" w:rsidRDefault="00C839BE" w:rsidP="00773045">
      <w:pPr>
        <w:spacing w:after="0" w:line="240" w:lineRule="auto"/>
        <w:rPr>
          <w:bCs/>
        </w:rPr>
      </w:pPr>
      <w:r w:rsidRPr="00F33752">
        <w:rPr>
          <w:b/>
        </w:rPr>
        <w:t>Fast Track</w:t>
      </w:r>
      <w:r w:rsidR="0018350D" w:rsidRPr="00F33752">
        <w:rPr>
          <w:b/>
        </w:rPr>
        <w:t xml:space="preserve"> – </w:t>
      </w:r>
      <w:r w:rsidR="0018350D" w:rsidRPr="00F33752">
        <w:rPr>
          <w:bCs/>
        </w:rPr>
        <w:t>The fast</w:t>
      </w:r>
      <w:r w:rsidR="006D4322" w:rsidRPr="00F33752">
        <w:rPr>
          <w:bCs/>
        </w:rPr>
        <w:t>-</w:t>
      </w:r>
      <w:r w:rsidR="0018350D" w:rsidRPr="00F33752">
        <w:rPr>
          <w:bCs/>
        </w:rPr>
        <w:t xml:space="preserve">track process </w:t>
      </w:r>
      <w:r w:rsidR="00392CB6" w:rsidRPr="00F33752">
        <w:rPr>
          <w:bCs/>
        </w:rPr>
        <w:t xml:space="preserve">is </w:t>
      </w:r>
      <w:r w:rsidR="0018350D" w:rsidRPr="00F33752">
        <w:rPr>
          <w:bCs/>
        </w:rPr>
        <w:t xml:space="preserve">for </w:t>
      </w:r>
      <w:r w:rsidR="00204BE3" w:rsidRPr="00F33752">
        <w:rPr>
          <w:bCs/>
        </w:rPr>
        <w:t>new</w:t>
      </w:r>
      <w:r w:rsidR="0080507E" w:rsidRPr="00F33752">
        <w:rPr>
          <w:bCs/>
        </w:rPr>
        <w:t>/revised</w:t>
      </w:r>
      <w:r w:rsidR="00204BE3" w:rsidRPr="00F33752">
        <w:rPr>
          <w:bCs/>
        </w:rPr>
        <w:t xml:space="preserve"> programs which are </w:t>
      </w:r>
      <w:r w:rsidR="0018350D" w:rsidRPr="00F33752">
        <w:rPr>
          <w:bCs/>
        </w:rPr>
        <w:t>substantially the same</w:t>
      </w:r>
      <w:r w:rsidR="00986ED2" w:rsidRPr="00F33752">
        <w:rPr>
          <w:bCs/>
        </w:rPr>
        <w:t xml:space="preserve"> </w:t>
      </w:r>
      <w:r w:rsidR="0080507E" w:rsidRPr="00F33752">
        <w:rPr>
          <w:bCs/>
        </w:rPr>
        <w:t xml:space="preserve">as – share the same common business core curriculum – as </w:t>
      </w:r>
      <w:r w:rsidR="00986ED2" w:rsidRPr="00F33752">
        <w:rPr>
          <w:bCs/>
        </w:rPr>
        <w:t>an already accredited program</w:t>
      </w:r>
      <w:r w:rsidR="006D4322" w:rsidRPr="00F33752">
        <w:rPr>
          <w:bCs/>
        </w:rPr>
        <w:t xml:space="preserve"> at the same credential level.</w:t>
      </w:r>
      <w:r w:rsidR="0080507E" w:rsidRPr="00F33752">
        <w:rPr>
          <w:bCs/>
        </w:rPr>
        <w:t xml:space="preserve"> </w:t>
      </w:r>
      <w:r w:rsidR="008543A5" w:rsidRPr="00F33752">
        <w:rPr>
          <w:bCs/>
        </w:rPr>
        <w:t>For</w:t>
      </w:r>
      <w:r w:rsidR="0018350D" w:rsidRPr="00F33752">
        <w:rPr>
          <w:bCs/>
        </w:rPr>
        <w:t xml:space="preserve"> example</w:t>
      </w:r>
      <w:r w:rsidR="00392CB6" w:rsidRPr="00F33752">
        <w:rPr>
          <w:bCs/>
        </w:rPr>
        <w:t>:</w:t>
      </w:r>
      <w:r w:rsidR="0018350D" w:rsidRPr="00F33752">
        <w:rPr>
          <w:bCs/>
        </w:rPr>
        <w:t xml:space="preserve"> a</w:t>
      </w:r>
      <w:r w:rsidR="0080507E" w:rsidRPr="00F33752">
        <w:rPr>
          <w:bCs/>
        </w:rPr>
        <w:t xml:space="preserve"> business unit </w:t>
      </w:r>
      <w:r w:rsidR="0018350D" w:rsidRPr="00F33752">
        <w:rPr>
          <w:bCs/>
        </w:rPr>
        <w:t xml:space="preserve">has an MBA with a concentration in </w:t>
      </w:r>
      <w:r w:rsidR="00392CB6" w:rsidRPr="00F33752">
        <w:rPr>
          <w:bCs/>
        </w:rPr>
        <w:t>marketing</w:t>
      </w:r>
      <w:r w:rsidR="0018350D" w:rsidRPr="00F33752">
        <w:rPr>
          <w:bCs/>
        </w:rPr>
        <w:t xml:space="preserve"> and </w:t>
      </w:r>
      <w:r w:rsidR="00392CB6" w:rsidRPr="00F33752">
        <w:rPr>
          <w:bCs/>
        </w:rPr>
        <w:t>is revising</w:t>
      </w:r>
      <w:r w:rsidR="006D4322" w:rsidRPr="00F33752">
        <w:rPr>
          <w:bCs/>
        </w:rPr>
        <w:t xml:space="preserve"> </w:t>
      </w:r>
      <w:r w:rsidR="0018350D" w:rsidRPr="00F33752">
        <w:rPr>
          <w:bCs/>
        </w:rPr>
        <w:t xml:space="preserve">the program to a Master of </w:t>
      </w:r>
      <w:r w:rsidR="00392CB6" w:rsidRPr="00F33752">
        <w:rPr>
          <w:bCs/>
        </w:rPr>
        <w:t xml:space="preserve">Marketing; </w:t>
      </w:r>
      <w:r w:rsidR="0080507E" w:rsidRPr="00F33752">
        <w:rPr>
          <w:bCs/>
        </w:rPr>
        <w:t xml:space="preserve">or </w:t>
      </w:r>
      <w:bookmarkStart w:id="1" w:name="_Hlk100732444"/>
      <w:r w:rsidR="0080507E" w:rsidRPr="00F33752">
        <w:rPr>
          <w:bCs/>
        </w:rPr>
        <w:t>the business unit is rolling out a new program “BS in Business Management” that shares the same business core curriculum as its already accredited “BS in Business” program</w:t>
      </w:r>
      <w:bookmarkEnd w:id="1"/>
      <w:r w:rsidR="006D4322" w:rsidRPr="00F33752">
        <w:rPr>
          <w:bCs/>
        </w:rPr>
        <w:t>; or the business unit is rolling out a new program “MS in Management” that shares the same business core courses as the already accredited MBA program.</w:t>
      </w:r>
      <w:r w:rsidR="00AC7ED1" w:rsidRPr="00F33752">
        <w:rPr>
          <w:bCs/>
        </w:rPr>
        <w:t xml:space="preserve"> </w:t>
      </w:r>
      <w:r w:rsidR="00966A45" w:rsidRPr="00F33752">
        <w:rPr>
          <w:bCs/>
        </w:rPr>
        <w:t xml:space="preserve">Upon IACBE approval of the program students in this program are considered to have graduated from an IACBE-accredited program if they were </w:t>
      </w:r>
      <w:r w:rsidR="009A01F5" w:rsidRPr="00F33752">
        <w:rPr>
          <w:bCs/>
        </w:rPr>
        <w:t>active in the program at the time IACBE receives the application. This review track is conducted at the IACBE staff level.</w:t>
      </w:r>
    </w:p>
    <w:p w14:paraId="6F6E40F5" w14:textId="77777777" w:rsidR="00773045" w:rsidRPr="00F33752" w:rsidRDefault="00773045" w:rsidP="00773045">
      <w:pPr>
        <w:spacing w:after="0" w:line="240" w:lineRule="auto"/>
        <w:rPr>
          <w:b/>
        </w:rPr>
      </w:pPr>
    </w:p>
    <w:p w14:paraId="0F53A728" w14:textId="48011440" w:rsidR="00C839BE" w:rsidRPr="00F33752" w:rsidRDefault="00C839BE" w:rsidP="00773045">
      <w:pPr>
        <w:spacing w:after="0" w:line="240" w:lineRule="auto"/>
        <w:rPr>
          <w:bCs/>
        </w:rPr>
      </w:pPr>
      <w:r w:rsidRPr="00F33752">
        <w:rPr>
          <w:b/>
        </w:rPr>
        <w:lastRenderedPageBreak/>
        <w:t>Full Review</w:t>
      </w:r>
      <w:r w:rsidR="0018350D" w:rsidRPr="00F33752">
        <w:rPr>
          <w:b/>
        </w:rPr>
        <w:t xml:space="preserve"> – </w:t>
      </w:r>
      <w:r w:rsidR="00392CB6" w:rsidRPr="00F33752">
        <w:rPr>
          <w:bCs/>
        </w:rPr>
        <w:t xml:space="preserve">A </w:t>
      </w:r>
      <w:r w:rsidR="0018350D" w:rsidRPr="00F33752">
        <w:rPr>
          <w:bCs/>
        </w:rPr>
        <w:t>full review</w:t>
      </w:r>
      <w:r w:rsidR="00392CB6" w:rsidRPr="00F33752">
        <w:rPr>
          <w:bCs/>
        </w:rPr>
        <w:t xml:space="preserve"> is</w:t>
      </w:r>
      <w:r w:rsidR="0018350D" w:rsidRPr="00F33752">
        <w:rPr>
          <w:bCs/>
        </w:rPr>
        <w:t xml:space="preserve"> for new programs that are either entirely new to the </w:t>
      </w:r>
      <w:r w:rsidR="00F4052E" w:rsidRPr="00F33752">
        <w:rPr>
          <w:bCs/>
        </w:rPr>
        <w:t>business unit</w:t>
      </w:r>
      <w:r w:rsidR="0018350D" w:rsidRPr="00F33752">
        <w:rPr>
          <w:bCs/>
        </w:rPr>
        <w:t xml:space="preserve"> or </w:t>
      </w:r>
      <w:r w:rsidR="00AC7ED1" w:rsidRPr="00F33752">
        <w:rPr>
          <w:bCs/>
        </w:rPr>
        <w:t xml:space="preserve">do not share the same </w:t>
      </w:r>
      <w:r w:rsidR="008543A5" w:rsidRPr="00F33752">
        <w:rPr>
          <w:bCs/>
        </w:rPr>
        <w:t xml:space="preserve">full </w:t>
      </w:r>
      <w:r w:rsidR="00AC7ED1" w:rsidRPr="00F33752">
        <w:rPr>
          <w:bCs/>
        </w:rPr>
        <w:t>common business core curriculum as an already accredited program. This new program track includes a review by the Board of Commissioners.</w:t>
      </w:r>
      <w:r w:rsidR="008543A5" w:rsidRPr="00F33752">
        <w:rPr>
          <w:bCs/>
        </w:rPr>
        <w:t xml:space="preserve"> For example: the business unit is rolling out a new program “BS in Management” that does not shares the same full business core curriculum as its already accredited “BS in Business”; or the business unit is rolling out a new program “MS in Management” that does not share the same full core curriculum as the already accredited MBA program.</w:t>
      </w:r>
      <w:r w:rsidR="000B24D0">
        <w:rPr>
          <w:bCs/>
        </w:rPr>
        <w:t xml:space="preserve"> This review level incurs a new program application fee.</w:t>
      </w:r>
    </w:p>
    <w:p w14:paraId="7D839C00" w14:textId="77777777" w:rsidR="00773045" w:rsidRPr="00F33752" w:rsidRDefault="00773045" w:rsidP="00773045">
      <w:pPr>
        <w:spacing w:after="0" w:line="240" w:lineRule="auto"/>
        <w:rPr>
          <w:b/>
        </w:rPr>
      </w:pPr>
    </w:p>
    <w:p w14:paraId="62BB98D1" w14:textId="086211CC" w:rsidR="00C839BE" w:rsidRPr="00F33752" w:rsidRDefault="00C839BE" w:rsidP="00773045">
      <w:pPr>
        <w:spacing w:after="0" w:line="240" w:lineRule="auto"/>
      </w:pPr>
      <w:r w:rsidRPr="00F33752">
        <w:rPr>
          <w:b/>
        </w:rPr>
        <w:t>New Degree Level</w:t>
      </w:r>
      <w:r w:rsidR="0018350D" w:rsidRPr="00F33752">
        <w:rPr>
          <w:b/>
        </w:rPr>
        <w:t xml:space="preserve"> – </w:t>
      </w:r>
      <w:r w:rsidR="0018350D" w:rsidRPr="00F33752">
        <w:rPr>
          <w:bCs/>
        </w:rPr>
        <w:t xml:space="preserve">The BOC requires a full New Program self-study and review which may include a virtual or face-to-face site visit for all new programs at any level above that which the </w:t>
      </w:r>
      <w:r w:rsidR="00F4052E" w:rsidRPr="00F33752">
        <w:rPr>
          <w:bCs/>
        </w:rPr>
        <w:t>business unit</w:t>
      </w:r>
      <w:r w:rsidR="0018350D" w:rsidRPr="00F33752">
        <w:rPr>
          <w:bCs/>
        </w:rPr>
        <w:t xml:space="preserve"> already has accreditation for.</w:t>
      </w:r>
      <w:r w:rsidR="00AC7ED1" w:rsidRPr="00F33752">
        <w:rPr>
          <w:bCs/>
        </w:rPr>
        <w:t xml:space="preserve"> This new program track includes a review by the Board of Commissioners</w:t>
      </w:r>
      <w:r w:rsidR="009A01F5" w:rsidRPr="00F33752">
        <w:rPr>
          <w:bCs/>
        </w:rPr>
        <w:t>.</w:t>
      </w:r>
      <w:r w:rsidR="000B24D0">
        <w:rPr>
          <w:bCs/>
        </w:rPr>
        <w:t xml:space="preserve"> This review level incurs a new program application fee.</w:t>
      </w:r>
    </w:p>
    <w:sectPr w:rsidR="00C839BE" w:rsidRPr="00F33752" w:rsidSect="00702EA1">
      <w:headerReference w:type="default" r:id="rId12"/>
      <w:footerReference w:type="default" r:id="rId13"/>
      <w:pgSz w:w="15840" w:h="12240" w:orient="landscape" w:code="1"/>
      <w:pgMar w:top="720" w:right="864" w:bottom="432"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0C16" w14:textId="77777777" w:rsidR="00723517" w:rsidRDefault="00723517" w:rsidP="008A7D49">
      <w:pPr>
        <w:spacing w:after="0" w:line="240" w:lineRule="auto"/>
      </w:pPr>
      <w:r>
        <w:separator/>
      </w:r>
    </w:p>
  </w:endnote>
  <w:endnote w:type="continuationSeparator" w:id="0">
    <w:p w14:paraId="30C39913" w14:textId="77777777" w:rsidR="00723517" w:rsidRDefault="00723517" w:rsidP="008A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1726" w14:textId="022F7955" w:rsidR="008A7D49" w:rsidRPr="00702EA1" w:rsidRDefault="00702EA1" w:rsidP="00702EA1">
    <w:pPr>
      <w:pStyle w:val="Footer"/>
      <w:tabs>
        <w:tab w:val="clear" w:pos="9360"/>
        <w:tab w:val="right" w:pos="13680"/>
      </w:tabs>
      <w:rPr>
        <w:sz w:val="18"/>
        <w:szCs w:val="18"/>
      </w:rPr>
    </w:pPr>
    <w:r w:rsidRPr="00702EA1">
      <w:rPr>
        <w:sz w:val="18"/>
        <w:szCs w:val="18"/>
      </w:rPr>
      <w:t xml:space="preserve">New Prog </w:t>
    </w:r>
    <w:proofErr w:type="spellStart"/>
    <w:r w:rsidRPr="00702EA1">
      <w:rPr>
        <w:sz w:val="18"/>
        <w:szCs w:val="18"/>
      </w:rPr>
      <w:t>Reqs</w:t>
    </w:r>
    <w:proofErr w:type="spellEnd"/>
    <w:r>
      <w:rPr>
        <w:sz w:val="18"/>
        <w:szCs w:val="18"/>
      </w:rPr>
      <w:t xml:space="preserve"> 2022-04</w:t>
    </w:r>
    <w:r w:rsidRPr="00702EA1">
      <w:rPr>
        <w:sz w:val="18"/>
        <w:szCs w:val="18"/>
      </w:rPr>
      <w:tab/>
    </w:r>
    <w:r w:rsidRPr="00702EA1">
      <w:rPr>
        <w:sz w:val="18"/>
        <w:szCs w:val="18"/>
      </w:rPr>
      <w:tab/>
    </w:r>
    <w:proofErr w:type="spellStart"/>
    <w:r w:rsidRPr="00702EA1">
      <w:rPr>
        <w:sz w:val="18"/>
        <w:szCs w:val="18"/>
      </w:rPr>
      <w:t>pg</w:t>
    </w:r>
    <w:proofErr w:type="spellEnd"/>
    <w:r w:rsidRPr="00702EA1">
      <w:rPr>
        <w:sz w:val="18"/>
        <w:szCs w:val="18"/>
      </w:rPr>
      <w:t xml:space="preserve"> </w:t>
    </w:r>
    <w:r w:rsidRPr="00702EA1">
      <w:rPr>
        <w:sz w:val="18"/>
        <w:szCs w:val="18"/>
      </w:rPr>
      <w:fldChar w:fldCharType="begin"/>
    </w:r>
    <w:r w:rsidRPr="00702EA1">
      <w:rPr>
        <w:sz w:val="18"/>
        <w:szCs w:val="18"/>
      </w:rPr>
      <w:instrText xml:space="preserve"> PAGE   \* MERGEFORMAT </w:instrText>
    </w:r>
    <w:r w:rsidRPr="00702EA1">
      <w:rPr>
        <w:sz w:val="18"/>
        <w:szCs w:val="18"/>
      </w:rPr>
      <w:fldChar w:fldCharType="separate"/>
    </w:r>
    <w:r w:rsidRPr="00702EA1">
      <w:rPr>
        <w:noProof/>
        <w:sz w:val="18"/>
        <w:szCs w:val="18"/>
      </w:rPr>
      <w:t>1</w:t>
    </w:r>
    <w:r w:rsidRPr="00702EA1">
      <w:rPr>
        <w:noProof/>
        <w:sz w:val="18"/>
        <w:szCs w:val="18"/>
      </w:rPr>
      <w:fldChar w:fldCharType="end"/>
    </w:r>
  </w:p>
  <w:p w14:paraId="4AD93E84" w14:textId="77777777" w:rsidR="008A7D49" w:rsidRDefault="008A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7BC9" w14:textId="77777777" w:rsidR="00723517" w:rsidRDefault="00723517" w:rsidP="008A7D49">
      <w:pPr>
        <w:spacing w:after="0" w:line="240" w:lineRule="auto"/>
      </w:pPr>
      <w:r>
        <w:separator/>
      </w:r>
    </w:p>
  </w:footnote>
  <w:footnote w:type="continuationSeparator" w:id="0">
    <w:p w14:paraId="47EA77E3" w14:textId="77777777" w:rsidR="00723517" w:rsidRDefault="00723517" w:rsidP="008A7D49">
      <w:pPr>
        <w:spacing w:after="0" w:line="240" w:lineRule="auto"/>
      </w:pPr>
      <w:r>
        <w:continuationSeparator/>
      </w:r>
    </w:p>
  </w:footnote>
  <w:footnote w:id="1">
    <w:p w14:paraId="265BD39A" w14:textId="3CBE98C0" w:rsidR="00EE31BA" w:rsidRPr="00EE31BA" w:rsidRDefault="00EE31BA" w:rsidP="00EE31BA">
      <w:pPr>
        <w:spacing w:after="0" w:line="240" w:lineRule="auto"/>
        <w:rPr>
          <w:bCs/>
          <w:sz w:val="20"/>
          <w:szCs w:val="20"/>
        </w:rPr>
      </w:pPr>
      <w:r>
        <w:rPr>
          <w:rStyle w:val="FootnoteReference"/>
        </w:rPr>
        <w:footnoteRef/>
      </w:r>
      <w:r>
        <w:t xml:space="preserve"> </w:t>
      </w:r>
      <w:r w:rsidRPr="00EE31BA">
        <w:rPr>
          <w:bCs/>
          <w:sz w:val="20"/>
          <w:szCs w:val="20"/>
        </w:rPr>
        <w:t>“</w:t>
      </w:r>
      <w:proofErr w:type="gramStart"/>
      <w:r w:rsidRPr="00EE31BA">
        <w:rPr>
          <w:bCs/>
          <w:sz w:val="20"/>
          <w:szCs w:val="20"/>
        </w:rPr>
        <w:t>areas</w:t>
      </w:r>
      <w:proofErr w:type="gramEnd"/>
      <w:r w:rsidRPr="00EE31BA">
        <w:rPr>
          <w:bCs/>
          <w:sz w:val="20"/>
          <w:szCs w:val="20"/>
        </w:rPr>
        <w:t xml:space="preserve"> of business education”: business administration, accounting, entrepreneurship, finance, human resources, information technology, international business, leadership, logistics, management, marketing, business strategy, economics (principles of microeconomics and macroeconomics), business law, ethics, communication, analytics, and quantitative methods.</w:t>
      </w:r>
    </w:p>
    <w:p w14:paraId="3B29E142" w14:textId="2BD171CB" w:rsidR="00EE31BA" w:rsidRDefault="00EE31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3F1D" w14:textId="5CB1262D" w:rsidR="00F33752" w:rsidRPr="00F33752" w:rsidRDefault="00F33752" w:rsidP="00F33752">
    <w:pPr>
      <w:pStyle w:val="Header"/>
      <w:jc w:val="center"/>
      <w:rPr>
        <w:rFonts w:ascii="Calibri" w:hAnsi="Calibri" w:cs="Calibri"/>
        <w:sz w:val="36"/>
        <w:szCs w:val="36"/>
      </w:rPr>
    </w:pPr>
    <w:r w:rsidRPr="00F33752">
      <w:rPr>
        <w:rFonts w:ascii="Calibri" w:hAnsi="Calibri" w:cs="Calibri"/>
        <w:sz w:val="36"/>
        <w:szCs w:val="36"/>
      </w:rPr>
      <w:t>IACBE Requirements for New Program Application</w:t>
    </w:r>
  </w:p>
  <w:p w14:paraId="31FC8991" w14:textId="77777777" w:rsidR="00F33752" w:rsidRDefault="00F3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5519"/>
    <w:multiLevelType w:val="multilevel"/>
    <w:tmpl w:val="E79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F5CBD"/>
    <w:multiLevelType w:val="hybridMultilevel"/>
    <w:tmpl w:val="089458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100094"/>
    <w:multiLevelType w:val="hybridMultilevel"/>
    <w:tmpl w:val="DD92D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750374"/>
    <w:multiLevelType w:val="multilevel"/>
    <w:tmpl w:val="3938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08841">
    <w:abstractNumId w:val="2"/>
  </w:num>
  <w:num w:numId="2" w16cid:durableId="1509295716">
    <w:abstractNumId w:val="1"/>
  </w:num>
  <w:num w:numId="3" w16cid:durableId="602108831">
    <w:abstractNumId w:val="3"/>
  </w:num>
  <w:num w:numId="4" w16cid:durableId="105258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C7"/>
    <w:rsid w:val="00026010"/>
    <w:rsid w:val="00043829"/>
    <w:rsid w:val="00045C20"/>
    <w:rsid w:val="00095F5B"/>
    <w:rsid w:val="000B24D0"/>
    <w:rsid w:val="00131C73"/>
    <w:rsid w:val="00156940"/>
    <w:rsid w:val="0018350D"/>
    <w:rsid w:val="00187CCF"/>
    <w:rsid w:val="001C4CB6"/>
    <w:rsid w:val="00204BE3"/>
    <w:rsid w:val="00254BB8"/>
    <w:rsid w:val="002E0114"/>
    <w:rsid w:val="002E6216"/>
    <w:rsid w:val="002E6A3A"/>
    <w:rsid w:val="002F2771"/>
    <w:rsid w:val="003059D3"/>
    <w:rsid w:val="0032757B"/>
    <w:rsid w:val="00380CE1"/>
    <w:rsid w:val="00392CB6"/>
    <w:rsid w:val="003F6712"/>
    <w:rsid w:val="00400052"/>
    <w:rsid w:val="004051BA"/>
    <w:rsid w:val="00466C98"/>
    <w:rsid w:val="004757E3"/>
    <w:rsid w:val="004A0443"/>
    <w:rsid w:val="00506893"/>
    <w:rsid w:val="005166C7"/>
    <w:rsid w:val="00535598"/>
    <w:rsid w:val="005A7977"/>
    <w:rsid w:val="005B7D80"/>
    <w:rsid w:val="005F77E9"/>
    <w:rsid w:val="00611A03"/>
    <w:rsid w:val="0062051E"/>
    <w:rsid w:val="00646E23"/>
    <w:rsid w:val="00651453"/>
    <w:rsid w:val="006A3C21"/>
    <w:rsid w:val="006D4322"/>
    <w:rsid w:val="006F361E"/>
    <w:rsid w:val="00702EA1"/>
    <w:rsid w:val="00707227"/>
    <w:rsid w:val="00723517"/>
    <w:rsid w:val="00770BBA"/>
    <w:rsid w:val="00773045"/>
    <w:rsid w:val="00797439"/>
    <w:rsid w:val="007E206A"/>
    <w:rsid w:val="0080507E"/>
    <w:rsid w:val="00840F94"/>
    <w:rsid w:val="008543A5"/>
    <w:rsid w:val="00883909"/>
    <w:rsid w:val="008A7D49"/>
    <w:rsid w:val="00904AD0"/>
    <w:rsid w:val="00906D0C"/>
    <w:rsid w:val="009104CB"/>
    <w:rsid w:val="00941920"/>
    <w:rsid w:val="009667C9"/>
    <w:rsid w:val="00966A45"/>
    <w:rsid w:val="00986ED2"/>
    <w:rsid w:val="009A01F5"/>
    <w:rsid w:val="009A5FB1"/>
    <w:rsid w:val="00A62F82"/>
    <w:rsid w:val="00AC7ED1"/>
    <w:rsid w:val="00AD2637"/>
    <w:rsid w:val="00AF6443"/>
    <w:rsid w:val="00B2742E"/>
    <w:rsid w:val="00B36D2D"/>
    <w:rsid w:val="00B37086"/>
    <w:rsid w:val="00BA2746"/>
    <w:rsid w:val="00BB32C2"/>
    <w:rsid w:val="00BE785E"/>
    <w:rsid w:val="00C0500D"/>
    <w:rsid w:val="00C839BE"/>
    <w:rsid w:val="00C90D98"/>
    <w:rsid w:val="00D7591E"/>
    <w:rsid w:val="00E40147"/>
    <w:rsid w:val="00E84EAB"/>
    <w:rsid w:val="00E8614B"/>
    <w:rsid w:val="00E96DF1"/>
    <w:rsid w:val="00EB5590"/>
    <w:rsid w:val="00EE31BA"/>
    <w:rsid w:val="00F056A7"/>
    <w:rsid w:val="00F20132"/>
    <w:rsid w:val="00F216E4"/>
    <w:rsid w:val="00F33752"/>
    <w:rsid w:val="00F36C73"/>
    <w:rsid w:val="00F4052E"/>
    <w:rsid w:val="00F56421"/>
    <w:rsid w:val="00FC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FD18"/>
  <w15:chartTrackingRefBased/>
  <w15:docId w15:val="{CBABC42D-C526-4176-BB4E-109130B5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712"/>
    <w:pPr>
      <w:ind w:left="720"/>
      <w:contextualSpacing/>
    </w:pPr>
  </w:style>
  <w:style w:type="paragraph" w:styleId="Header">
    <w:name w:val="header"/>
    <w:basedOn w:val="Normal"/>
    <w:link w:val="HeaderChar"/>
    <w:uiPriority w:val="99"/>
    <w:unhideWhenUsed/>
    <w:rsid w:val="008A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D49"/>
  </w:style>
  <w:style w:type="paragraph" w:styleId="Footer">
    <w:name w:val="footer"/>
    <w:basedOn w:val="Normal"/>
    <w:link w:val="FooterChar"/>
    <w:uiPriority w:val="99"/>
    <w:unhideWhenUsed/>
    <w:rsid w:val="008A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D49"/>
  </w:style>
  <w:style w:type="paragraph" w:styleId="BalloonText">
    <w:name w:val="Balloon Text"/>
    <w:basedOn w:val="Normal"/>
    <w:link w:val="BalloonTextChar"/>
    <w:uiPriority w:val="99"/>
    <w:semiHidden/>
    <w:unhideWhenUsed/>
    <w:rsid w:val="006F3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1E"/>
    <w:rPr>
      <w:rFonts w:ascii="Segoe UI" w:hAnsi="Segoe UI" w:cs="Segoe UI"/>
      <w:sz w:val="18"/>
      <w:szCs w:val="18"/>
    </w:rPr>
  </w:style>
  <w:style w:type="paragraph" w:styleId="Revision">
    <w:name w:val="Revision"/>
    <w:hidden/>
    <w:uiPriority w:val="99"/>
    <w:semiHidden/>
    <w:rsid w:val="00204BE3"/>
    <w:pPr>
      <w:spacing w:after="0" w:line="240" w:lineRule="auto"/>
    </w:pPr>
  </w:style>
  <w:style w:type="paragraph" w:styleId="FootnoteText">
    <w:name w:val="footnote text"/>
    <w:basedOn w:val="Normal"/>
    <w:link w:val="FootnoteTextChar"/>
    <w:uiPriority w:val="99"/>
    <w:semiHidden/>
    <w:unhideWhenUsed/>
    <w:rsid w:val="00EE3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1BA"/>
    <w:rPr>
      <w:sz w:val="20"/>
      <w:szCs w:val="20"/>
    </w:rPr>
  </w:style>
  <w:style w:type="character" w:styleId="FootnoteReference">
    <w:name w:val="footnote reference"/>
    <w:basedOn w:val="DefaultParagraphFont"/>
    <w:uiPriority w:val="99"/>
    <w:semiHidden/>
    <w:unhideWhenUsed/>
    <w:rsid w:val="00EE31BA"/>
    <w:rPr>
      <w:vertAlign w:val="superscript"/>
    </w:rPr>
  </w:style>
  <w:style w:type="character" w:styleId="Hyperlink">
    <w:name w:val="Hyperlink"/>
    <w:basedOn w:val="DefaultParagraphFont"/>
    <w:uiPriority w:val="99"/>
    <w:unhideWhenUsed/>
    <w:rsid w:val="004A0443"/>
    <w:rPr>
      <w:color w:val="0563C1" w:themeColor="hyperlink"/>
      <w:u w:val="single"/>
    </w:rPr>
  </w:style>
  <w:style w:type="character" w:styleId="UnresolvedMention">
    <w:name w:val="Unresolved Mention"/>
    <w:basedOn w:val="DefaultParagraphFont"/>
    <w:uiPriority w:val="99"/>
    <w:semiHidden/>
    <w:unhideWhenUsed/>
    <w:rsid w:val="004A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be@iacb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6" ma:contentTypeDescription="Create a new document." ma:contentTypeScope="" ma:versionID="989ee3431e88159fe46aa92a7819a71c">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24e70e768c46a84c5caf4f898f039b6d"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05F3B-0046-442B-9A5D-D1BF90FDF96E}">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2.xml><?xml version="1.0" encoding="utf-8"?>
<ds:datastoreItem xmlns:ds="http://schemas.openxmlformats.org/officeDocument/2006/customXml" ds:itemID="{9E60E6FB-6ECE-4BD5-B1B9-5F9170B6D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8ecdcbb4-66fa-4016-a459-d7eee93cd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71669-C114-4D8D-B9AC-79835E206145}">
  <ds:schemaRefs>
    <ds:schemaRef ds:uri="http://schemas.openxmlformats.org/officeDocument/2006/bibliography"/>
  </ds:schemaRefs>
</ds:datastoreItem>
</file>

<file path=customXml/itemProps4.xml><?xml version="1.0" encoding="utf-8"?>
<ds:datastoreItem xmlns:ds="http://schemas.openxmlformats.org/officeDocument/2006/customXml" ds:itemID="{0762676B-29A5-4B00-94EE-9CABDB333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Cecilia Livengood</cp:lastModifiedBy>
  <cp:revision>2</cp:revision>
  <dcterms:created xsi:type="dcterms:W3CDTF">2022-10-12T12:49:00Z</dcterms:created>
  <dcterms:modified xsi:type="dcterms:W3CDTF">2022-10-12T12:49:00Z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